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C16A449" w:rsidR="00E66558" w:rsidRDefault="009D71E8" w:rsidP="007E5F87">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7E5F87">
        <w:t xml:space="preserve"> for All Saints’ Junior School, Warwick</w:t>
      </w:r>
    </w:p>
    <w:p w14:paraId="11837AEF" w14:textId="77777777" w:rsidR="0080039A" w:rsidRDefault="0080039A" w:rsidP="0080039A">
      <w:pPr>
        <w:rPr>
          <w:b/>
        </w:rPr>
      </w:pPr>
      <w:r>
        <w:t xml:space="preserve">This statement details our school’s use of pupil </w:t>
      </w:r>
      <w:r w:rsidRPr="005F2600">
        <w:t xml:space="preserve">premium </w:t>
      </w:r>
      <w:r>
        <w:t xml:space="preserve">funding to help improve the attainment of our disadvantaged pupils. </w:t>
      </w:r>
    </w:p>
    <w:p w14:paraId="7C0FCBA8" w14:textId="77777777" w:rsidR="0080039A" w:rsidRDefault="0080039A" w:rsidP="0080039A">
      <w:r>
        <w:t>It outlines our pupil premium strategy, how we intend to spend the funding in this academic year and the outcomes for disadvantaged pupils last academic year.</w:t>
      </w:r>
    </w:p>
    <w:p w14:paraId="2A7D54B4" w14:textId="099A681B" w:rsidR="00E66558" w:rsidRDefault="009D71E8" w:rsidP="007E5F87">
      <w:pPr>
        <w:pStyle w:val="Heading2"/>
        <w:spacing w:before="240"/>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34980CC" w:rsidR="00E66558" w:rsidRDefault="001577D2">
            <w:pPr>
              <w:pStyle w:val="TableRow"/>
            </w:pPr>
            <w:r>
              <w:t>All Saints’ CE Junior School, Warwick</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58F99E8" w:rsidR="00E66558" w:rsidRPr="00C44F0C" w:rsidRDefault="001577D2">
            <w:pPr>
              <w:pStyle w:val="TableRow"/>
            </w:pPr>
            <w:r w:rsidRPr="00C44F0C">
              <w:t>2</w:t>
            </w:r>
            <w:r w:rsidR="00CF31E4">
              <w:t>22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0C4C9A1" w:rsidR="00E66558" w:rsidRPr="00C44F0C" w:rsidRDefault="00C0027B">
            <w:pPr>
              <w:pStyle w:val="TableRow"/>
            </w:pPr>
            <w:r w:rsidRPr="00C44F0C">
              <w:t>2</w:t>
            </w:r>
            <w:r w:rsidR="00C44F0C" w:rsidRPr="00C44F0C">
              <w:t>4</w:t>
            </w:r>
            <w:r w:rsidRPr="00C44F0C">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sidRPr="00C0027B">
              <w:rPr>
                <w:bCs/>
                <w:szCs w:val="22"/>
              </w:rPr>
              <w:t>(</w:t>
            </w:r>
            <w:proofErr w:type="gramStart"/>
            <w:r w:rsidRPr="00C0027B">
              <w:rPr>
                <w:bCs/>
                <w:szCs w:val="22"/>
              </w:rPr>
              <w:t>3 year</w:t>
            </w:r>
            <w:proofErr w:type="gramEnd"/>
            <w:r w:rsidRPr="00C0027B">
              <w:rPr>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7528069" w:rsidR="00E66558" w:rsidRDefault="001577D2">
            <w:pPr>
              <w:pStyle w:val="TableRow"/>
            </w:pPr>
            <w:r>
              <w:t>202</w:t>
            </w:r>
            <w:r w:rsidR="00656516">
              <w:t>5</w:t>
            </w:r>
            <w:r>
              <w:t>/2</w:t>
            </w:r>
            <w:r w:rsidR="00656516">
              <w:t>6</w:t>
            </w:r>
            <w:r>
              <w:t xml:space="preserve"> – 202</w:t>
            </w:r>
            <w:r w:rsidR="00656516">
              <w:t>8</w:t>
            </w:r>
            <w:r>
              <w:t>/2</w:t>
            </w:r>
            <w:r w:rsidR="00656516">
              <w:t>9</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B553215" w:rsidR="00E66558" w:rsidRDefault="001577D2">
            <w:pPr>
              <w:pStyle w:val="TableRow"/>
            </w:pPr>
            <w:r>
              <w:t>December 202</w:t>
            </w:r>
            <w:r w:rsidR="00656516">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CE94FBC" w:rsidR="00E66558" w:rsidRDefault="00656516">
            <w:pPr>
              <w:pStyle w:val="TableRow"/>
            </w:pPr>
            <w:r>
              <w:t>December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585A597" w:rsidR="00E66558" w:rsidRDefault="00043AB8">
            <w:pPr>
              <w:pStyle w:val="TableRow"/>
            </w:pPr>
            <w:r>
              <w:t xml:space="preserve">Jon </w:t>
            </w:r>
            <w:proofErr w:type="spellStart"/>
            <w:r>
              <w:t>Queralt</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72C09CB" w:rsidR="00E66558" w:rsidRPr="00593F64" w:rsidRDefault="00043AB8">
            <w:pPr>
              <w:pStyle w:val="TableRow"/>
            </w:pPr>
            <w:r>
              <w:t xml:space="preserve">Jon </w:t>
            </w:r>
            <w:proofErr w:type="spellStart"/>
            <w:r>
              <w:t>Queralt</w:t>
            </w:r>
            <w:proofErr w:type="spellEnd"/>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3CD95705" w:rsidR="00E66558" w:rsidRDefault="009D71E8">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83B3C6B" w:rsidR="00E66558" w:rsidRPr="00593F64" w:rsidRDefault="00043AB8" w:rsidP="00593F64">
            <w:pPr>
              <w:pStyle w:val="TableRow"/>
              <w:ind w:left="0"/>
            </w:pPr>
            <w:r>
              <w:t>Jody Tracey</w:t>
            </w:r>
          </w:p>
        </w:tc>
      </w:tr>
      <w:bookmarkEnd w:id="2"/>
      <w:bookmarkEnd w:id="3"/>
      <w:bookmarkEnd w:id="4"/>
    </w:tbl>
    <w:p w14:paraId="09FD0D81" w14:textId="77777777" w:rsidR="009E68BE" w:rsidRDefault="009E68BE" w:rsidP="009E68BE"/>
    <w:p w14:paraId="2A7D54D3" w14:textId="4F3E4145" w:rsidR="00E66558" w:rsidRDefault="009D71E8" w:rsidP="009E68BE">
      <w:pPr>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362B0" w14:textId="48F3A968" w:rsidR="00E47404" w:rsidRPr="00E47404" w:rsidRDefault="00E47404" w:rsidP="00E47404">
            <w:pPr>
              <w:pStyle w:val="TableRow"/>
            </w:pPr>
            <w:r w:rsidRPr="00E47404">
              <w:t>£83,225</w:t>
            </w:r>
          </w:p>
          <w:p w14:paraId="2A7D54D8" w14:textId="07641AE0" w:rsidR="00E66558" w:rsidRDefault="00E66558" w:rsidP="00357859">
            <w:pPr>
              <w:pStyle w:val="TableRow"/>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EF7BD66" w:rsidR="00E66558" w:rsidRPr="00B900EC" w:rsidRDefault="009D71E8">
            <w:pPr>
              <w:pStyle w:val="TableRow"/>
            </w:pPr>
            <w:r w:rsidRPr="00B900EC">
              <w:t>£</w:t>
            </w:r>
            <w:r w:rsidR="001577D2" w:rsidRPr="00B900EC">
              <w:t>0</w:t>
            </w:r>
          </w:p>
        </w:tc>
      </w:tr>
      <w:tr w:rsidR="000A55E3" w14:paraId="2AFBDDF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E525F" w14:textId="751B690D" w:rsidR="000A55E3" w:rsidRDefault="000A55E3">
            <w:pPr>
              <w:pStyle w:val="TableRow"/>
            </w:pPr>
            <w:r>
              <w:t>Total funding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C4C6" w14:textId="6F1B0226" w:rsidR="000A55E3" w:rsidRPr="00B900EC" w:rsidRDefault="00E47404" w:rsidP="00E47404">
            <w:pPr>
              <w:pStyle w:val="TableRow"/>
            </w:pPr>
            <w:r w:rsidRPr="00E47404">
              <w:t>£83,225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0632" w:type="dxa"/>
        <w:tblInd w:w="-431" w:type="dxa"/>
        <w:tblCellMar>
          <w:left w:w="10" w:type="dxa"/>
          <w:right w:w="10" w:type="dxa"/>
        </w:tblCellMar>
        <w:tblLook w:val="04A0" w:firstRow="1" w:lastRow="0" w:firstColumn="1" w:lastColumn="0" w:noHBand="0" w:noVBand="1"/>
      </w:tblPr>
      <w:tblGrid>
        <w:gridCol w:w="10632"/>
      </w:tblGrid>
      <w:tr w:rsidR="00E66558" w14:paraId="2A7D54EA" w14:textId="77777777" w:rsidTr="75A4D3FF">
        <w:tc>
          <w:tcPr>
            <w:tcW w:w="10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F75CD2" w14:textId="77777777" w:rsidR="009B084F" w:rsidRDefault="009B084F" w:rsidP="009B084F">
            <w:r>
              <w:t xml:space="preserve">Our ambition is for every child at All </w:t>
            </w:r>
            <w:proofErr w:type="gramStart"/>
            <w:r>
              <w:t>Saints’</w:t>
            </w:r>
            <w:proofErr w:type="gramEnd"/>
            <w:r>
              <w:t xml:space="preserve"> to flourish academically, socially and emotionally. We place high-quality teaching at the heart of our strategy and ensure that the learning experiences of disadvantaged pupils are shaped by strong assessment, early intervention, and a consistent whole-school commitment to inclusion.</w:t>
            </w:r>
          </w:p>
          <w:p w14:paraId="29CDE31C" w14:textId="6DEC66A8" w:rsidR="00E067AF" w:rsidRPr="00E067AF" w:rsidRDefault="00E067AF" w:rsidP="00E067AF">
            <w:pPr>
              <w:jc w:val="both"/>
              <w:rPr>
                <w:rFonts w:eastAsia="Arial" w:cs="Arial"/>
                <w:b/>
              </w:rPr>
            </w:pPr>
            <w:r>
              <w:rPr>
                <w:rFonts w:eastAsia="Arial" w:cs="Arial"/>
                <w:iCs/>
              </w:rPr>
              <w:t xml:space="preserve">Our </w:t>
            </w:r>
            <w:r w:rsidRPr="00E067AF">
              <w:rPr>
                <w:rFonts w:eastAsia="Arial" w:cs="Arial"/>
                <w:iCs/>
              </w:rPr>
              <w:t xml:space="preserve">intention is that all pupils, irrespective of their background or the challenges they face, make good progress and achieve high attainment across all subject areas. </w:t>
            </w:r>
            <w:r w:rsidRPr="00E067AF">
              <w:rPr>
                <w:rFonts w:eastAsia="Arial" w:cs="Arial"/>
                <w:iCs/>
                <w:lang w:val="en-US"/>
              </w:rPr>
              <w:t xml:space="preserve">The focus of our pupil premium strategy is to support disadvantaged pupils to achieve that goal, including progress for those who are already high attainers. </w:t>
            </w:r>
          </w:p>
          <w:p w14:paraId="5A8E7E97" w14:textId="6DDC834A" w:rsidR="00E067AF" w:rsidRDefault="00E067AF" w:rsidP="00E067AF">
            <w:pPr>
              <w:spacing w:after="2" w:line="277" w:lineRule="auto"/>
              <w:jc w:val="both"/>
              <w:rPr>
                <w:rFonts w:eastAsia="Arial" w:cs="Arial"/>
                <w:iCs/>
                <w:lang w:val="en-US"/>
              </w:rPr>
            </w:pPr>
            <w:r w:rsidRPr="00E067AF">
              <w:rPr>
                <w:rFonts w:eastAsia="Arial" w:cs="Arial"/>
                <w:iCs/>
                <w:lang w:val="en-US"/>
              </w:rPr>
              <w:t xml:space="preserve">We will consider the challenges faced by </w:t>
            </w:r>
            <w:r w:rsidR="00791C57">
              <w:rPr>
                <w:rFonts w:eastAsia="Arial" w:cs="Arial"/>
                <w:iCs/>
                <w:lang w:val="en-US"/>
              </w:rPr>
              <w:t xml:space="preserve">other </w:t>
            </w:r>
            <w:r w:rsidRPr="00E067AF">
              <w:rPr>
                <w:rFonts w:eastAsia="Arial" w:cs="Arial"/>
                <w:iCs/>
                <w:lang w:val="en-US"/>
              </w:rPr>
              <w:t>vulnerable pupils, such as those who have a social worker and</w:t>
            </w:r>
            <w:r w:rsidR="00791C57">
              <w:rPr>
                <w:rFonts w:eastAsia="Arial" w:cs="Arial"/>
                <w:iCs/>
                <w:lang w:val="en-US"/>
              </w:rPr>
              <w:t>/or are</w:t>
            </w:r>
            <w:r w:rsidRPr="00E067AF">
              <w:rPr>
                <w:rFonts w:eastAsia="Arial" w:cs="Arial"/>
                <w:iCs/>
                <w:lang w:val="en-US"/>
              </w:rPr>
              <w:t xml:space="preserve"> young </w:t>
            </w:r>
            <w:proofErr w:type="spellStart"/>
            <w:r w:rsidRPr="00E067AF">
              <w:rPr>
                <w:rFonts w:eastAsia="Arial" w:cs="Arial"/>
                <w:iCs/>
                <w:lang w:val="en-US"/>
              </w:rPr>
              <w:t>carers</w:t>
            </w:r>
            <w:proofErr w:type="spellEnd"/>
            <w:r w:rsidRPr="00E067AF">
              <w:rPr>
                <w:rFonts w:eastAsia="Arial" w:cs="Arial"/>
                <w:iCs/>
                <w:lang w:val="en-US"/>
              </w:rPr>
              <w:t>. The activit</w:t>
            </w:r>
            <w:r>
              <w:rPr>
                <w:rFonts w:eastAsia="Arial" w:cs="Arial"/>
                <w:iCs/>
                <w:lang w:val="en-US"/>
              </w:rPr>
              <w:t>ies</w:t>
            </w:r>
            <w:r w:rsidRPr="00E067AF">
              <w:rPr>
                <w:rFonts w:eastAsia="Arial" w:cs="Arial"/>
                <w:iCs/>
                <w:lang w:val="en-US"/>
              </w:rPr>
              <w:t xml:space="preserve"> we have outlined in this statement </w:t>
            </w:r>
            <w:r>
              <w:rPr>
                <w:rFonts w:eastAsia="Arial" w:cs="Arial"/>
                <w:iCs/>
                <w:lang w:val="en-US"/>
              </w:rPr>
              <w:t>are</w:t>
            </w:r>
            <w:r w:rsidRPr="00E067AF">
              <w:rPr>
                <w:rFonts w:eastAsia="Arial" w:cs="Arial"/>
                <w:iCs/>
                <w:lang w:val="en-US"/>
              </w:rPr>
              <w:t xml:space="preserve"> also intended to support their needs, regardless of whether they are disadvantaged or not.</w:t>
            </w:r>
          </w:p>
          <w:p w14:paraId="4E1C9367" w14:textId="77777777" w:rsidR="00E067AF" w:rsidRPr="00E067AF" w:rsidRDefault="00E067AF" w:rsidP="00E067AF">
            <w:pPr>
              <w:spacing w:after="2" w:line="277" w:lineRule="auto"/>
              <w:jc w:val="both"/>
              <w:rPr>
                <w:rFonts w:eastAsia="Arial" w:cs="Arial"/>
                <w:iCs/>
              </w:rPr>
            </w:pPr>
          </w:p>
          <w:p w14:paraId="279B4365" w14:textId="7AEF101E" w:rsidR="00E067AF" w:rsidRDefault="00E067AF" w:rsidP="00E067AF">
            <w:pPr>
              <w:spacing w:after="2" w:line="277" w:lineRule="auto"/>
              <w:jc w:val="both"/>
              <w:rPr>
                <w:rFonts w:eastAsia="Arial" w:cs="Arial"/>
                <w:iCs/>
                <w:lang w:val="en-US"/>
              </w:rPr>
            </w:pPr>
            <w:r w:rsidRPr="00E067AF">
              <w:rPr>
                <w:rFonts w:eastAsia="Arial" w:cs="Arial"/>
                <w:iCs/>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404A4E94" w14:textId="77777777" w:rsidR="00791C57" w:rsidRPr="00E067AF" w:rsidRDefault="00791C57" w:rsidP="00E067AF">
            <w:pPr>
              <w:spacing w:after="2" w:line="277" w:lineRule="auto"/>
              <w:jc w:val="both"/>
              <w:rPr>
                <w:rFonts w:eastAsia="Arial" w:cs="Arial"/>
                <w:iCs/>
                <w:lang w:val="en-US"/>
              </w:rPr>
            </w:pPr>
          </w:p>
          <w:p w14:paraId="4E32A6B2" w14:textId="77777777" w:rsidR="00E067AF" w:rsidRPr="00E067AF" w:rsidRDefault="00E067AF" w:rsidP="00E067AF">
            <w:pPr>
              <w:spacing w:after="2" w:line="277" w:lineRule="auto"/>
              <w:jc w:val="both"/>
              <w:rPr>
                <w:rFonts w:eastAsia="Arial" w:cs="Arial"/>
                <w:iCs/>
                <w:lang w:val="en-US"/>
              </w:rPr>
            </w:pPr>
            <w:r w:rsidRPr="00E067AF">
              <w:rPr>
                <w:rFonts w:eastAsia="Arial" w:cs="Arial"/>
                <w:iCs/>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0831D661" w14:textId="77777777" w:rsidR="00E067AF" w:rsidRPr="00E067AF" w:rsidRDefault="00E067AF" w:rsidP="00E067AF">
            <w:pPr>
              <w:numPr>
                <w:ilvl w:val="0"/>
                <w:numId w:val="22"/>
              </w:numPr>
              <w:spacing w:after="2" w:line="277" w:lineRule="auto"/>
              <w:jc w:val="both"/>
              <w:rPr>
                <w:rFonts w:eastAsia="Arial" w:cs="Arial"/>
                <w:iCs/>
                <w:lang w:val="en-US"/>
              </w:rPr>
            </w:pPr>
            <w:r w:rsidRPr="00E067AF">
              <w:rPr>
                <w:rFonts w:eastAsia="Arial" w:cs="Arial"/>
                <w:iCs/>
                <w:lang w:val="en-US"/>
              </w:rPr>
              <w:t>ensure disadvantaged pupils are challenged in the work that they’re set</w:t>
            </w:r>
          </w:p>
          <w:p w14:paraId="7AFA074C" w14:textId="77777777" w:rsidR="00E067AF" w:rsidRPr="00E067AF" w:rsidRDefault="00E067AF" w:rsidP="00E067AF">
            <w:pPr>
              <w:numPr>
                <w:ilvl w:val="0"/>
                <w:numId w:val="22"/>
              </w:numPr>
              <w:spacing w:after="2" w:line="277" w:lineRule="auto"/>
              <w:jc w:val="both"/>
              <w:rPr>
                <w:rFonts w:eastAsia="Arial" w:cs="Arial"/>
                <w:iCs/>
                <w:lang w:val="en-US"/>
              </w:rPr>
            </w:pPr>
            <w:r w:rsidRPr="00E067AF">
              <w:rPr>
                <w:rFonts w:eastAsia="Arial" w:cs="Arial"/>
              </w:rPr>
              <w:t>act early to intervene at the point need is identified</w:t>
            </w:r>
          </w:p>
          <w:p w14:paraId="38BE3CC4" w14:textId="64F6FA6C" w:rsidR="00E067AF" w:rsidRPr="00791C57" w:rsidRDefault="00E067AF" w:rsidP="00791C57">
            <w:pPr>
              <w:pStyle w:val="ListParagraph"/>
              <w:numPr>
                <w:ilvl w:val="0"/>
                <w:numId w:val="22"/>
              </w:numPr>
              <w:spacing w:after="2" w:line="277" w:lineRule="auto"/>
              <w:jc w:val="both"/>
              <w:rPr>
                <w:rFonts w:eastAsia="Arial" w:cs="Arial"/>
              </w:rPr>
            </w:pPr>
            <w:r w:rsidRPr="00791C57">
              <w:rPr>
                <w:rFonts w:eastAsia="Arial" w:cs="Arial"/>
              </w:rPr>
              <w:t>adopt a whole school approach in which all staff take responsibility for disadvantaged pupils’ outcomes and raise expectations of what they can achieve</w:t>
            </w:r>
          </w:p>
          <w:p w14:paraId="433028CC" w14:textId="77777777" w:rsidR="001577D2" w:rsidRPr="001141C4" w:rsidRDefault="001577D2" w:rsidP="001577D2">
            <w:pPr>
              <w:pStyle w:val="ListParagraph"/>
              <w:numPr>
                <w:ilvl w:val="0"/>
                <w:numId w:val="14"/>
              </w:numPr>
              <w:suppressAutoHyphens w:val="0"/>
              <w:autoSpaceDN/>
              <w:spacing w:after="3" w:line="277" w:lineRule="auto"/>
              <w:jc w:val="both"/>
              <w:rPr>
                <w:rFonts w:cs="Arial"/>
              </w:rPr>
            </w:pPr>
            <w:r w:rsidRPr="001141C4">
              <w:rPr>
                <w:rFonts w:eastAsia="Arial" w:cs="Arial"/>
              </w:rPr>
              <w:t xml:space="preserve">All children should and will benefit from the teaching and learning opportunities that PP funding provides  </w:t>
            </w:r>
          </w:p>
          <w:p w14:paraId="2999E38A" w14:textId="77777777" w:rsidR="001577D2" w:rsidRPr="001141C4" w:rsidRDefault="001577D2" w:rsidP="001577D2">
            <w:pPr>
              <w:pStyle w:val="ListParagraph"/>
              <w:numPr>
                <w:ilvl w:val="0"/>
                <w:numId w:val="14"/>
              </w:numPr>
              <w:suppressAutoHyphens w:val="0"/>
              <w:autoSpaceDN/>
              <w:spacing w:after="160" w:line="277" w:lineRule="auto"/>
              <w:jc w:val="both"/>
              <w:rPr>
                <w:rFonts w:cs="Arial"/>
              </w:rPr>
            </w:pPr>
            <w:r w:rsidRPr="001141C4">
              <w:rPr>
                <w:rFonts w:eastAsia="Arial" w:cs="Arial"/>
              </w:rPr>
              <w:t xml:space="preserve">Appropriate provision is made for all pupils belonging to vulnerable groups, including those who are from socially and economically disadvantaged groups.  </w:t>
            </w:r>
          </w:p>
          <w:p w14:paraId="0FBAFF46" w14:textId="77777777" w:rsidR="001577D2" w:rsidRPr="001141C4" w:rsidRDefault="001577D2" w:rsidP="001577D2">
            <w:pPr>
              <w:pStyle w:val="ListParagraph"/>
              <w:numPr>
                <w:ilvl w:val="0"/>
                <w:numId w:val="14"/>
              </w:numPr>
              <w:suppressAutoHyphens w:val="0"/>
              <w:autoSpaceDN/>
              <w:spacing w:after="3" w:line="277" w:lineRule="auto"/>
              <w:jc w:val="both"/>
              <w:rPr>
                <w:rFonts w:cs="Arial"/>
              </w:rPr>
            </w:pPr>
            <w:r w:rsidRPr="001141C4">
              <w:rPr>
                <w:rFonts w:eastAsia="Arial" w:cs="Arial"/>
              </w:rPr>
              <w:t xml:space="preserve">PP spending should be allocated following a needs analysis which identifies children with priority needs; those with the greatest need being children in receipt of free school meals whose progress is not rapid enough.  </w:t>
            </w:r>
          </w:p>
          <w:p w14:paraId="13DFE79D" w14:textId="77777777" w:rsidR="001577D2" w:rsidRPr="001141C4" w:rsidRDefault="001577D2" w:rsidP="001577D2">
            <w:pPr>
              <w:pStyle w:val="ListParagraph"/>
              <w:numPr>
                <w:ilvl w:val="0"/>
                <w:numId w:val="14"/>
              </w:numPr>
              <w:suppressAutoHyphens w:val="0"/>
              <w:autoSpaceDN/>
              <w:spacing w:after="160" w:line="277" w:lineRule="auto"/>
              <w:jc w:val="both"/>
              <w:rPr>
                <w:rFonts w:cs="Arial"/>
              </w:rPr>
            </w:pPr>
            <w:r w:rsidRPr="001141C4">
              <w:rPr>
                <w:rFonts w:eastAsia="Arial" w:cs="Arial"/>
              </w:rPr>
              <w:t xml:space="preserve">Pupils who receive free school meals are not necessarily socially disadvantaged or are making inadequate progress.  </w:t>
            </w:r>
          </w:p>
          <w:p w14:paraId="0FC53AF2" w14:textId="77777777" w:rsidR="001577D2" w:rsidRPr="001141C4" w:rsidRDefault="001577D2" w:rsidP="001577D2">
            <w:pPr>
              <w:pStyle w:val="ListParagraph"/>
              <w:numPr>
                <w:ilvl w:val="0"/>
                <w:numId w:val="14"/>
              </w:numPr>
              <w:suppressAutoHyphens w:val="0"/>
              <w:autoSpaceDN/>
              <w:spacing w:after="18" w:line="259" w:lineRule="auto"/>
              <w:jc w:val="both"/>
              <w:rPr>
                <w:rFonts w:cs="Arial"/>
              </w:rPr>
            </w:pPr>
            <w:r w:rsidRPr="001141C4">
              <w:rPr>
                <w:rFonts w:eastAsia="Arial" w:cs="Arial"/>
              </w:rPr>
              <w:t xml:space="preserve">Not all pupils who are socially disadvantaged are registered or qualify for free school meals.  </w:t>
            </w:r>
          </w:p>
          <w:p w14:paraId="1C72FF47" w14:textId="77777777" w:rsidR="001577D2" w:rsidRPr="001141C4" w:rsidRDefault="001577D2" w:rsidP="001577D2">
            <w:pPr>
              <w:pStyle w:val="ListParagraph"/>
              <w:numPr>
                <w:ilvl w:val="0"/>
                <w:numId w:val="14"/>
              </w:numPr>
              <w:suppressAutoHyphens w:val="0"/>
              <w:autoSpaceDN/>
              <w:spacing w:after="25" w:line="277" w:lineRule="auto"/>
              <w:jc w:val="both"/>
              <w:rPr>
                <w:rFonts w:cs="Arial"/>
              </w:rPr>
            </w:pPr>
            <w:r w:rsidRPr="001141C4">
              <w:rPr>
                <w:rFonts w:eastAsia="Arial" w:cs="Arial"/>
              </w:rPr>
              <w:t xml:space="preserve">Our PP funding should be spent in a wide and imaginative variety of ways, to benefit the wide variety of interests and needs of our children  </w:t>
            </w:r>
          </w:p>
          <w:p w14:paraId="02B80477" w14:textId="77777777" w:rsidR="001577D2" w:rsidRPr="001141C4" w:rsidRDefault="001577D2" w:rsidP="001577D2">
            <w:pPr>
              <w:pStyle w:val="ListParagraph"/>
              <w:numPr>
                <w:ilvl w:val="0"/>
                <w:numId w:val="14"/>
              </w:numPr>
              <w:suppressAutoHyphens w:val="0"/>
              <w:autoSpaceDN/>
              <w:spacing w:after="35" w:line="277" w:lineRule="auto"/>
              <w:jc w:val="both"/>
              <w:rPr>
                <w:rFonts w:cs="Arial"/>
              </w:rPr>
            </w:pPr>
            <w:r w:rsidRPr="001141C4">
              <w:rPr>
                <w:rFonts w:eastAsia="Arial" w:cs="Arial"/>
              </w:rPr>
              <w:lastRenderedPageBreak/>
              <w:t xml:space="preserve">Our PP funding should be spent according to ‘best value principles’ and related to activities which research suggests will make the very best use of the finances available  </w:t>
            </w:r>
          </w:p>
          <w:p w14:paraId="639E6B5B" w14:textId="77777777" w:rsidR="00E66558" w:rsidRPr="002F60A5" w:rsidRDefault="001577D2" w:rsidP="001577D2">
            <w:pPr>
              <w:pStyle w:val="ListParagraph"/>
              <w:numPr>
                <w:ilvl w:val="0"/>
                <w:numId w:val="14"/>
              </w:numPr>
              <w:suppressAutoHyphens w:val="0"/>
              <w:autoSpaceDN/>
              <w:spacing w:after="160" w:line="277" w:lineRule="auto"/>
              <w:jc w:val="both"/>
              <w:rPr>
                <w:i/>
                <w:iCs/>
              </w:rPr>
            </w:pPr>
            <w:r w:rsidRPr="001141C4">
              <w:rPr>
                <w:rFonts w:eastAsia="Arial" w:cs="Arial"/>
              </w:rPr>
              <w:t xml:space="preserve">Whilst there are some ‘quick wins’, there is a need to also take a ‘long term view’ to stop achievement gaps from widening. Some of our long-term objectives will take more than an academic year to come to fruition. </w:t>
            </w:r>
          </w:p>
          <w:p w14:paraId="5E7F4BBA" w14:textId="77777777" w:rsidR="002F60A5" w:rsidRDefault="002F60A5" w:rsidP="002F60A5">
            <w:pPr>
              <w:suppressAutoHyphens w:val="0"/>
              <w:autoSpaceDN/>
              <w:spacing w:after="160" w:line="277" w:lineRule="auto"/>
              <w:jc w:val="both"/>
              <w:rPr>
                <w:iCs/>
              </w:rPr>
            </w:pPr>
          </w:p>
          <w:p w14:paraId="7E26F262" w14:textId="0166C424" w:rsidR="002F60A5" w:rsidRPr="002F60A5" w:rsidRDefault="002F60A5" w:rsidP="002F60A5">
            <w:pPr>
              <w:suppressAutoHyphens w:val="0"/>
              <w:autoSpaceDN/>
              <w:spacing w:after="160" w:line="277" w:lineRule="auto"/>
              <w:jc w:val="both"/>
              <w:rPr>
                <w:b/>
                <w:iCs/>
              </w:rPr>
            </w:pPr>
            <w:r w:rsidRPr="002F60A5">
              <w:rPr>
                <w:b/>
                <w:iCs/>
              </w:rPr>
              <w:t>Attendance of Disadvantaged Pupils:</w:t>
            </w:r>
          </w:p>
          <w:p w14:paraId="4F5C5ED3" w14:textId="51D0A4DA" w:rsidR="004C7BFA" w:rsidRDefault="007D1E43" w:rsidP="00D13B3E">
            <w:pPr>
              <w:suppressAutoHyphens w:val="0"/>
              <w:autoSpaceDN/>
              <w:spacing w:before="60" w:after="0" w:line="240" w:lineRule="auto"/>
              <w:ind w:left="57" w:right="57"/>
              <w:rPr>
                <w:rFonts w:cs="Arial"/>
                <w:iCs/>
                <w:color w:val="auto"/>
              </w:rPr>
            </w:pPr>
            <w:r w:rsidRPr="007D1E43">
              <w:rPr>
                <w:rFonts w:cs="Arial"/>
                <w:iCs/>
                <w:color w:val="auto"/>
              </w:rPr>
              <w:t xml:space="preserve">All Saints’ </w:t>
            </w:r>
            <w:r w:rsidR="00654403">
              <w:rPr>
                <w:rFonts w:cs="Arial"/>
                <w:iCs/>
                <w:color w:val="auto"/>
              </w:rPr>
              <w:t xml:space="preserve">average </w:t>
            </w:r>
            <w:r w:rsidRPr="007D1E43">
              <w:rPr>
                <w:rFonts w:cs="Arial"/>
                <w:iCs/>
                <w:color w:val="auto"/>
              </w:rPr>
              <w:t>attendance is </w:t>
            </w:r>
            <w:r w:rsidRPr="007D1E43">
              <w:rPr>
                <w:rFonts w:cs="Arial"/>
                <w:b/>
                <w:bCs/>
                <w:iCs/>
                <w:color w:val="auto"/>
              </w:rPr>
              <w:t>95.6%</w:t>
            </w:r>
            <w:r w:rsidRPr="007D1E43">
              <w:rPr>
                <w:rFonts w:cs="Arial"/>
                <w:iCs/>
                <w:color w:val="auto"/>
              </w:rPr>
              <w:t>, placing the school </w:t>
            </w:r>
            <w:r w:rsidRPr="00E608E4">
              <w:rPr>
                <w:rFonts w:cs="Arial"/>
                <w:iCs/>
                <w:color w:val="auto"/>
              </w:rPr>
              <w:t>111</w:t>
            </w:r>
            <w:r w:rsidRPr="00E608E4">
              <w:rPr>
                <w:rFonts w:cs="Arial"/>
                <w:iCs/>
                <w:color w:val="auto"/>
                <w:vertAlign w:val="superscript"/>
              </w:rPr>
              <w:t>th</w:t>
            </w:r>
            <w:r w:rsidR="00751DC2" w:rsidRPr="00E608E4">
              <w:rPr>
                <w:rFonts w:cs="Arial"/>
                <w:iCs/>
                <w:color w:val="auto"/>
              </w:rPr>
              <w:t xml:space="preserve"> </w:t>
            </w:r>
            <w:r w:rsidRPr="00E608E4">
              <w:rPr>
                <w:rFonts w:cs="Arial"/>
                <w:iCs/>
                <w:color w:val="auto"/>
              </w:rPr>
              <w:t>out of 196</w:t>
            </w:r>
            <w:r w:rsidRPr="007D1E43">
              <w:rPr>
                <w:rFonts w:cs="Arial"/>
                <w:iCs/>
                <w:color w:val="auto"/>
              </w:rPr>
              <w:t> </w:t>
            </w:r>
            <w:r w:rsidR="002570CB">
              <w:rPr>
                <w:rFonts w:cs="Arial"/>
                <w:iCs/>
                <w:color w:val="auto"/>
              </w:rPr>
              <w:t>of our LA school</w:t>
            </w:r>
            <w:r w:rsidR="00751DC2">
              <w:rPr>
                <w:rFonts w:cs="Arial"/>
                <w:iCs/>
                <w:color w:val="auto"/>
              </w:rPr>
              <w:t>s</w:t>
            </w:r>
            <w:r w:rsidR="002570CB">
              <w:rPr>
                <w:rFonts w:cs="Arial"/>
                <w:iCs/>
                <w:color w:val="auto"/>
              </w:rPr>
              <w:t xml:space="preserve">. </w:t>
            </w:r>
            <w:r w:rsidRPr="007D1E43">
              <w:rPr>
                <w:rFonts w:cs="Arial"/>
                <w:iCs/>
                <w:color w:val="auto"/>
              </w:rPr>
              <w:t xml:space="preserve"> </w:t>
            </w:r>
          </w:p>
          <w:p w14:paraId="3AB438A3" w14:textId="6D9BB4BE" w:rsidR="004C7BFA" w:rsidRDefault="007D1E43" w:rsidP="00D13B3E">
            <w:pPr>
              <w:suppressAutoHyphens w:val="0"/>
              <w:autoSpaceDN/>
              <w:spacing w:before="60" w:after="0" w:line="240" w:lineRule="auto"/>
              <w:ind w:left="57" w:right="57"/>
              <w:rPr>
                <w:rFonts w:cs="Arial"/>
                <w:iCs/>
                <w:color w:val="auto"/>
              </w:rPr>
            </w:pPr>
            <w:r w:rsidRPr="007D1E43">
              <w:rPr>
                <w:rFonts w:cs="Arial"/>
                <w:iCs/>
                <w:color w:val="auto"/>
              </w:rPr>
              <w:t>Attendance for </w:t>
            </w:r>
            <w:r w:rsidRPr="00654403">
              <w:rPr>
                <w:rFonts w:cs="Arial"/>
                <w:iCs/>
                <w:color w:val="auto"/>
              </w:rPr>
              <w:t>pupils eligible for</w:t>
            </w:r>
            <w:r w:rsidRPr="007D1E43">
              <w:rPr>
                <w:rFonts w:cs="Arial"/>
                <w:b/>
                <w:bCs/>
                <w:iCs/>
                <w:color w:val="auto"/>
              </w:rPr>
              <w:t xml:space="preserve"> </w:t>
            </w:r>
            <w:r w:rsidR="004C7BFA">
              <w:rPr>
                <w:rFonts w:cs="Arial"/>
                <w:b/>
                <w:bCs/>
                <w:iCs/>
                <w:color w:val="auto"/>
              </w:rPr>
              <w:t>PP</w:t>
            </w:r>
            <w:r w:rsidRPr="007D1E43">
              <w:rPr>
                <w:rFonts w:cs="Arial"/>
                <w:b/>
                <w:bCs/>
                <w:iCs/>
                <w:color w:val="auto"/>
              </w:rPr>
              <w:t xml:space="preserve"> is 92.6%</w:t>
            </w:r>
            <w:r w:rsidR="00751DC2">
              <w:rPr>
                <w:rFonts w:cs="Arial"/>
                <w:b/>
                <w:bCs/>
                <w:iCs/>
                <w:color w:val="auto"/>
              </w:rPr>
              <w:t xml:space="preserve">, </w:t>
            </w:r>
            <w:r w:rsidR="00751DC2" w:rsidRPr="00E608E4">
              <w:rPr>
                <w:rFonts w:cs="Arial"/>
                <w:iCs/>
                <w:color w:val="auto"/>
              </w:rPr>
              <w:t xml:space="preserve">ranked </w:t>
            </w:r>
            <w:r w:rsidRPr="00E608E4">
              <w:rPr>
                <w:rFonts w:cs="Arial"/>
                <w:iCs/>
                <w:color w:val="auto"/>
              </w:rPr>
              <w:t>117</w:t>
            </w:r>
            <w:r w:rsidRPr="00E608E4">
              <w:rPr>
                <w:rFonts w:cs="Arial"/>
                <w:iCs/>
                <w:color w:val="auto"/>
                <w:vertAlign w:val="superscript"/>
              </w:rPr>
              <w:t>th</w:t>
            </w:r>
            <w:r w:rsidR="00751DC2" w:rsidRPr="00E608E4">
              <w:rPr>
                <w:rFonts w:cs="Arial"/>
                <w:iCs/>
                <w:color w:val="auto"/>
              </w:rPr>
              <w:t xml:space="preserve"> out of </w:t>
            </w:r>
            <w:r w:rsidRPr="00E608E4">
              <w:rPr>
                <w:rFonts w:cs="Arial"/>
                <w:iCs/>
                <w:color w:val="auto"/>
              </w:rPr>
              <w:t>196</w:t>
            </w:r>
            <w:r w:rsidR="00E608E4">
              <w:rPr>
                <w:rFonts w:cs="Arial"/>
                <w:b/>
                <w:bCs/>
                <w:iCs/>
                <w:color w:val="auto"/>
              </w:rPr>
              <w:t xml:space="preserve">    </w:t>
            </w:r>
            <w:r w:rsidR="00A7097A">
              <w:rPr>
                <w:rFonts w:cs="Arial"/>
                <w:b/>
                <w:bCs/>
                <w:iCs/>
                <w:color w:val="auto"/>
              </w:rPr>
              <w:t xml:space="preserve">   </w:t>
            </w:r>
            <w:proofErr w:type="gramStart"/>
            <w:r w:rsidR="00A7097A">
              <w:rPr>
                <w:rFonts w:cs="Arial"/>
                <w:b/>
                <w:bCs/>
                <w:iCs/>
                <w:color w:val="auto"/>
              </w:rPr>
              <w:t xml:space="preserve">   </w:t>
            </w:r>
            <w:r w:rsidR="00E608E4">
              <w:rPr>
                <w:rFonts w:cs="Arial"/>
                <w:b/>
                <w:bCs/>
                <w:iCs/>
                <w:color w:val="auto"/>
              </w:rPr>
              <w:t>“</w:t>
            </w:r>
            <w:proofErr w:type="gramEnd"/>
            <w:r w:rsidR="00E608E4">
              <w:rPr>
                <w:rFonts w:cs="Arial"/>
                <w:b/>
                <w:bCs/>
                <w:iCs/>
                <w:color w:val="auto"/>
              </w:rPr>
              <w:t xml:space="preserve">   </w:t>
            </w:r>
            <w:r w:rsidR="00A7097A">
              <w:rPr>
                <w:rFonts w:cs="Arial"/>
                <w:b/>
                <w:bCs/>
                <w:iCs/>
                <w:color w:val="auto"/>
              </w:rPr>
              <w:t>“</w:t>
            </w:r>
            <w:r w:rsidR="00E608E4">
              <w:rPr>
                <w:rFonts w:cs="Arial"/>
                <w:b/>
                <w:bCs/>
                <w:iCs/>
                <w:color w:val="auto"/>
              </w:rPr>
              <w:t xml:space="preserve">     “      </w:t>
            </w:r>
            <w:r w:rsidRPr="007D1E43">
              <w:rPr>
                <w:rFonts w:cs="Arial"/>
                <w:iCs/>
                <w:color w:val="auto"/>
              </w:rPr>
              <w:t xml:space="preserve"> </w:t>
            </w:r>
            <w:r w:rsidR="00885A11">
              <w:rPr>
                <w:rFonts w:cs="Arial"/>
                <w:iCs/>
                <w:color w:val="auto"/>
              </w:rPr>
              <w:t>“</w:t>
            </w:r>
          </w:p>
          <w:p w14:paraId="4DFA9708" w14:textId="5E7AA374" w:rsidR="002570CB" w:rsidRDefault="004C7BFA" w:rsidP="00D13B3E">
            <w:pPr>
              <w:suppressAutoHyphens w:val="0"/>
              <w:autoSpaceDN/>
              <w:spacing w:before="60" w:after="0" w:line="240" w:lineRule="auto"/>
              <w:ind w:left="57" w:right="57"/>
              <w:rPr>
                <w:rFonts w:cs="Arial"/>
                <w:iCs/>
                <w:color w:val="auto"/>
              </w:rPr>
            </w:pPr>
            <w:r>
              <w:rPr>
                <w:rFonts w:cs="Arial"/>
                <w:iCs/>
                <w:color w:val="auto"/>
              </w:rPr>
              <w:t>F</w:t>
            </w:r>
            <w:r w:rsidR="007D1E43" w:rsidRPr="007D1E43">
              <w:rPr>
                <w:rFonts w:cs="Arial"/>
                <w:iCs/>
                <w:color w:val="auto"/>
              </w:rPr>
              <w:t>or </w:t>
            </w:r>
            <w:r w:rsidR="007D1E43" w:rsidRPr="00654403">
              <w:rPr>
                <w:rFonts w:cs="Arial"/>
                <w:iCs/>
                <w:color w:val="auto"/>
              </w:rPr>
              <w:t>pupils with</w:t>
            </w:r>
            <w:r w:rsidR="007D1E43" w:rsidRPr="007D1E43">
              <w:rPr>
                <w:rFonts w:cs="Arial"/>
                <w:b/>
                <w:bCs/>
                <w:iCs/>
                <w:color w:val="auto"/>
              </w:rPr>
              <w:t xml:space="preserve"> SEN</w:t>
            </w:r>
            <w:r w:rsidR="009316DF">
              <w:rPr>
                <w:rFonts w:cs="Arial"/>
                <w:b/>
                <w:bCs/>
                <w:iCs/>
                <w:color w:val="auto"/>
              </w:rPr>
              <w:t>D</w:t>
            </w:r>
            <w:r w:rsidR="007D1E43" w:rsidRPr="007D1E43">
              <w:rPr>
                <w:rFonts w:cs="Arial"/>
                <w:b/>
                <w:bCs/>
                <w:iCs/>
                <w:color w:val="auto"/>
              </w:rPr>
              <w:t xml:space="preserve"> </w:t>
            </w:r>
            <w:r w:rsidR="007D1E43" w:rsidRPr="00885A11">
              <w:rPr>
                <w:rFonts w:cs="Arial"/>
                <w:iCs/>
                <w:color w:val="auto"/>
              </w:rPr>
              <w:t>it is</w:t>
            </w:r>
            <w:r w:rsidR="007D1E43" w:rsidRPr="007D1E43">
              <w:rPr>
                <w:rFonts w:cs="Arial"/>
                <w:b/>
                <w:bCs/>
                <w:iCs/>
                <w:color w:val="auto"/>
              </w:rPr>
              <w:t xml:space="preserve"> 94.0</w:t>
            </w:r>
            <w:proofErr w:type="gramStart"/>
            <w:r w:rsidR="007D1E43" w:rsidRPr="007D1E43">
              <w:rPr>
                <w:rFonts w:cs="Arial"/>
                <w:b/>
                <w:bCs/>
                <w:iCs/>
                <w:color w:val="auto"/>
              </w:rPr>
              <w:t>%</w:t>
            </w:r>
            <w:r w:rsidR="00654403">
              <w:rPr>
                <w:rFonts w:cs="Arial"/>
                <w:b/>
                <w:bCs/>
                <w:iCs/>
                <w:color w:val="auto"/>
              </w:rPr>
              <w:t xml:space="preserve">,   </w:t>
            </w:r>
            <w:proofErr w:type="gramEnd"/>
            <w:r w:rsidR="00654403">
              <w:rPr>
                <w:rFonts w:cs="Arial"/>
                <w:b/>
                <w:bCs/>
                <w:iCs/>
                <w:color w:val="auto"/>
              </w:rPr>
              <w:t xml:space="preserve">        </w:t>
            </w:r>
            <w:r w:rsidR="00885A11">
              <w:rPr>
                <w:rFonts w:cs="Arial"/>
                <w:b/>
                <w:bCs/>
                <w:iCs/>
                <w:color w:val="auto"/>
              </w:rPr>
              <w:t xml:space="preserve"> </w:t>
            </w:r>
            <w:r w:rsidR="00654403">
              <w:rPr>
                <w:rFonts w:cs="Arial"/>
                <w:b/>
                <w:bCs/>
                <w:iCs/>
                <w:color w:val="auto"/>
              </w:rPr>
              <w:t xml:space="preserve">       </w:t>
            </w:r>
            <w:r w:rsidR="00885A11">
              <w:rPr>
                <w:rFonts w:cs="Arial"/>
                <w:b/>
                <w:bCs/>
                <w:iCs/>
                <w:color w:val="auto"/>
              </w:rPr>
              <w:t xml:space="preserve"> </w:t>
            </w:r>
            <w:r w:rsidR="00654403">
              <w:rPr>
                <w:rFonts w:cs="Arial"/>
                <w:b/>
                <w:bCs/>
                <w:iCs/>
                <w:color w:val="auto"/>
              </w:rPr>
              <w:t xml:space="preserve">         </w:t>
            </w:r>
            <w:r w:rsidR="00654403" w:rsidRPr="00885A11">
              <w:rPr>
                <w:rFonts w:cs="Arial"/>
                <w:iCs/>
                <w:color w:val="auto"/>
              </w:rPr>
              <w:t xml:space="preserve">“      </w:t>
            </w:r>
            <w:r w:rsidR="007D1E43" w:rsidRPr="00885A11">
              <w:rPr>
                <w:rFonts w:cs="Arial"/>
                <w:iCs/>
                <w:color w:val="auto"/>
              </w:rPr>
              <w:t>114</w:t>
            </w:r>
            <w:r w:rsidR="007D1E43" w:rsidRPr="00885A11">
              <w:rPr>
                <w:rFonts w:cs="Arial"/>
                <w:iCs/>
                <w:color w:val="auto"/>
                <w:vertAlign w:val="superscript"/>
              </w:rPr>
              <w:t>th</w:t>
            </w:r>
            <w:r w:rsidR="00654403" w:rsidRPr="00885A11">
              <w:rPr>
                <w:rFonts w:cs="Arial"/>
                <w:iCs/>
                <w:color w:val="auto"/>
              </w:rPr>
              <w:t xml:space="preserve">   “    “ </w:t>
            </w:r>
            <w:r w:rsidR="007D1E43" w:rsidRPr="00885A11">
              <w:rPr>
                <w:rFonts w:cs="Arial"/>
                <w:iCs/>
                <w:color w:val="auto"/>
              </w:rPr>
              <w:t>196</w:t>
            </w:r>
            <w:r w:rsidR="007D1E43" w:rsidRPr="007D1E43">
              <w:rPr>
                <w:rFonts w:cs="Arial"/>
                <w:iCs/>
                <w:color w:val="auto"/>
              </w:rPr>
              <w:t xml:space="preserve"> </w:t>
            </w:r>
            <w:r w:rsidR="00654403">
              <w:rPr>
                <w:rFonts w:cs="Arial"/>
                <w:iCs/>
                <w:color w:val="auto"/>
              </w:rPr>
              <w:t xml:space="preserve">    </w:t>
            </w:r>
            <w:r w:rsidR="00A7097A">
              <w:rPr>
                <w:rFonts w:cs="Arial"/>
                <w:iCs/>
                <w:color w:val="auto"/>
              </w:rPr>
              <w:t xml:space="preserve">     “    “      “       “</w:t>
            </w:r>
          </w:p>
          <w:p w14:paraId="67C90D42" w14:textId="77777777" w:rsidR="002570CB" w:rsidRDefault="002570CB" w:rsidP="00D13B3E">
            <w:pPr>
              <w:suppressAutoHyphens w:val="0"/>
              <w:autoSpaceDN/>
              <w:spacing w:before="60" w:after="0" w:line="240" w:lineRule="auto"/>
              <w:ind w:left="57" w:right="57"/>
              <w:rPr>
                <w:rFonts w:cs="Arial"/>
                <w:iCs/>
                <w:color w:val="auto"/>
              </w:rPr>
            </w:pPr>
          </w:p>
          <w:p w14:paraId="4DD0A44C" w14:textId="24E28097" w:rsidR="007D1E43" w:rsidRDefault="007D1E43" w:rsidP="00D13B3E">
            <w:pPr>
              <w:suppressAutoHyphens w:val="0"/>
              <w:autoSpaceDN/>
              <w:spacing w:before="60" w:after="0" w:line="240" w:lineRule="auto"/>
              <w:ind w:left="57" w:right="57"/>
              <w:rPr>
                <w:rFonts w:cs="Arial"/>
                <w:iCs/>
                <w:color w:val="auto"/>
                <w:lang w:val="en-US"/>
              </w:rPr>
            </w:pPr>
            <w:r w:rsidRPr="007D1E43">
              <w:rPr>
                <w:rFonts w:cs="Arial"/>
                <w:iCs/>
                <w:color w:val="auto"/>
              </w:rPr>
              <w:t>In national comparison terms, this positions the school in </w:t>
            </w:r>
            <w:r w:rsidR="008E0A6C">
              <w:rPr>
                <w:rFonts w:cs="Arial"/>
                <w:iCs/>
                <w:color w:val="auto"/>
              </w:rPr>
              <w:t xml:space="preserve">the </w:t>
            </w:r>
            <w:r w:rsidR="008A70AA">
              <w:rPr>
                <w:rFonts w:cs="Arial"/>
                <w:iCs/>
                <w:color w:val="auto"/>
              </w:rPr>
              <w:t>6/10</w:t>
            </w:r>
            <w:r w:rsidR="00A1408E">
              <w:rPr>
                <w:rFonts w:cs="Arial"/>
                <w:iCs/>
                <w:color w:val="auto"/>
              </w:rPr>
              <w:t xml:space="preserve"> </w:t>
            </w:r>
            <w:r w:rsidRPr="007D1E43">
              <w:rPr>
                <w:rFonts w:cs="Arial"/>
                <w:b/>
                <w:bCs/>
                <w:iCs/>
                <w:color w:val="auto"/>
              </w:rPr>
              <w:t>attendance decile 6/10 overall</w:t>
            </w:r>
            <w:r w:rsidRPr="007D1E43">
              <w:rPr>
                <w:rFonts w:cs="Arial"/>
                <w:iCs/>
                <w:color w:val="auto"/>
              </w:rPr>
              <w:t>, </w:t>
            </w:r>
            <w:r w:rsidR="00A1408E">
              <w:rPr>
                <w:rFonts w:cs="Arial"/>
                <w:iCs/>
                <w:color w:val="auto"/>
              </w:rPr>
              <w:t>PP</w:t>
            </w:r>
            <w:r w:rsidRPr="007D1E43">
              <w:rPr>
                <w:rFonts w:cs="Arial"/>
                <w:b/>
                <w:bCs/>
                <w:iCs/>
                <w:color w:val="auto"/>
              </w:rPr>
              <w:t xml:space="preserve"> decile 7/10</w:t>
            </w:r>
            <w:r w:rsidRPr="007D1E43">
              <w:rPr>
                <w:rFonts w:cs="Arial"/>
                <w:iCs/>
                <w:color w:val="auto"/>
              </w:rPr>
              <w:t>, and </w:t>
            </w:r>
            <w:r w:rsidRPr="007D1E43">
              <w:rPr>
                <w:rFonts w:cs="Arial"/>
                <w:b/>
                <w:bCs/>
                <w:iCs/>
                <w:color w:val="auto"/>
              </w:rPr>
              <w:t>SEN</w:t>
            </w:r>
            <w:r w:rsidR="00A1408E">
              <w:rPr>
                <w:rFonts w:cs="Arial"/>
                <w:b/>
                <w:bCs/>
                <w:iCs/>
                <w:color w:val="auto"/>
              </w:rPr>
              <w:t>D</w:t>
            </w:r>
            <w:r w:rsidRPr="007D1E43">
              <w:rPr>
                <w:rFonts w:cs="Arial"/>
                <w:b/>
                <w:bCs/>
                <w:iCs/>
                <w:color w:val="auto"/>
              </w:rPr>
              <w:t xml:space="preserve"> decile 6/10</w:t>
            </w:r>
            <w:r w:rsidRPr="007D1E43">
              <w:rPr>
                <w:rFonts w:cs="Arial"/>
                <w:iCs/>
                <w:color w:val="auto"/>
              </w:rPr>
              <w:t>—indicating broadly mid-to-upper performance nationally, with disadvantaged attendance the key relative pressure point. </w:t>
            </w:r>
          </w:p>
          <w:p w14:paraId="0C37BF6C" w14:textId="77777777" w:rsidR="007D1E43" w:rsidRDefault="007D1E43" w:rsidP="00D13B3E">
            <w:pPr>
              <w:suppressAutoHyphens w:val="0"/>
              <w:autoSpaceDN/>
              <w:spacing w:before="60" w:after="0" w:line="240" w:lineRule="auto"/>
              <w:ind w:left="57" w:right="57"/>
              <w:rPr>
                <w:rFonts w:cs="Arial"/>
                <w:iCs/>
                <w:color w:val="auto"/>
                <w:lang w:val="en-US"/>
              </w:rPr>
            </w:pPr>
          </w:p>
          <w:p w14:paraId="25CC66F0" w14:textId="59DCE95E" w:rsidR="002F60A5" w:rsidRDefault="002F60A5" w:rsidP="002F60A5">
            <w:pPr>
              <w:suppressAutoHyphens w:val="0"/>
              <w:autoSpaceDN/>
              <w:spacing w:before="60" w:after="0" w:line="240" w:lineRule="auto"/>
              <w:ind w:left="57" w:right="57"/>
              <w:rPr>
                <w:i/>
                <w:iCs/>
              </w:rPr>
            </w:pPr>
            <w:r>
              <w:rPr>
                <w:i/>
                <w:iCs/>
              </w:rPr>
              <w:t xml:space="preserve">Historically, there have been greater differences in attendance patterns; through careful monitoring and effective support for the children, overall rates of absence and that of persistent absence are now more in line. These will continue to be carefully monitored, with strategies implemented at the earliest opportunity if required.  </w:t>
            </w:r>
          </w:p>
          <w:p w14:paraId="2A7D54E9" w14:textId="467B2AD4" w:rsidR="002F60A5" w:rsidRPr="002F60A5" w:rsidRDefault="002F60A5" w:rsidP="002F60A5">
            <w:pPr>
              <w:suppressAutoHyphens w:val="0"/>
              <w:autoSpaceDN/>
              <w:spacing w:after="160" w:line="277" w:lineRule="auto"/>
              <w:jc w:val="both"/>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1724A7" w14:paraId="2E1248A8"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2086F" w14:textId="6137EA10" w:rsidR="001724A7" w:rsidRDefault="001724A7" w:rsidP="001724A7">
            <w:pPr>
              <w:pStyle w:val="TableRow"/>
              <w:numPr>
                <w:ilvl w:val="0"/>
                <w:numId w:val="17"/>
              </w:numPr>
              <w:rPr>
                <w:sz w:val="22"/>
                <w:szCs w:val="22"/>
              </w:rPr>
            </w:pP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6A7B8B" w14:textId="149106D8" w:rsidR="001724A7" w:rsidRPr="001577D2" w:rsidRDefault="001724A7" w:rsidP="001724A7">
            <w:pPr>
              <w:suppressAutoHyphens w:val="0"/>
              <w:autoSpaceDN/>
              <w:spacing w:after="18" w:line="259" w:lineRule="auto"/>
              <w:rPr>
                <w:rFonts w:eastAsia="Arial" w:cs="Arial"/>
              </w:rPr>
            </w:pPr>
            <w:r w:rsidRPr="00E27862">
              <w:rPr>
                <w:rFonts w:cs="Arial"/>
                <w:iCs/>
                <w:color w:val="auto"/>
                <w:lang w:val="en-US"/>
              </w:rPr>
              <w:t xml:space="preserve">Assessments, observations, and discussions with pupils indicate underdeveloped oral language skills and vocabulary gaps among many disadvantaged pupils. These </w:t>
            </w:r>
            <w:r>
              <w:rPr>
                <w:rFonts w:cs="Arial"/>
                <w:iCs/>
                <w:color w:val="auto"/>
                <w:lang w:val="en-US"/>
              </w:rPr>
              <w:t xml:space="preserve">gaps </w:t>
            </w:r>
            <w:r w:rsidRPr="00E27862">
              <w:rPr>
                <w:rFonts w:cs="Arial"/>
                <w:iCs/>
                <w:color w:val="auto"/>
                <w:lang w:val="en-US"/>
              </w:rPr>
              <w:t>are eviden</w:t>
            </w:r>
            <w:r>
              <w:rPr>
                <w:rFonts w:cs="Arial"/>
                <w:iCs/>
                <w:color w:val="auto"/>
                <w:lang w:val="en-US"/>
              </w:rPr>
              <w:t>t on entry to R</w:t>
            </w:r>
            <w:r w:rsidRPr="00E27862">
              <w:rPr>
                <w:rFonts w:cs="Arial"/>
                <w:iCs/>
                <w:color w:val="auto"/>
                <w:lang w:val="en-US"/>
              </w:rPr>
              <w:t>eception</w:t>
            </w:r>
            <w:r>
              <w:rPr>
                <w:rFonts w:cs="Arial"/>
                <w:iCs/>
                <w:color w:val="auto"/>
                <w:lang w:val="en-US"/>
              </w:rPr>
              <w:t xml:space="preserve"> at our federated Infant school, with gaps persisting</w:t>
            </w:r>
            <w:r w:rsidRPr="00E27862">
              <w:rPr>
                <w:rFonts w:cs="Arial"/>
                <w:iCs/>
                <w:color w:val="auto"/>
                <w:lang w:val="en-US"/>
              </w:rPr>
              <w:t xml:space="preserve"> through</w:t>
            </w:r>
            <w:r>
              <w:rPr>
                <w:rFonts w:cs="Arial"/>
                <w:iCs/>
                <w:color w:val="auto"/>
                <w:lang w:val="en-US"/>
              </w:rPr>
              <w:t>out</w:t>
            </w:r>
            <w:r w:rsidRPr="00E27862">
              <w:rPr>
                <w:rFonts w:cs="Arial"/>
                <w:iCs/>
                <w:color w:val="auto"/>
                <w:lang w:val="en-US"/>
              </w:rPr>
              <w:t xml:space="preserve"> KS2</w:t>
            </w:r>
            <w:r>
              <w:rPr>
                <w:rFonts w:cs="Arial"/>
                <w:iCs/>
                <w:color w:val="auto"/>
                <w:lang w:val="en-US"/>
              </w:rPr>
              <w:t xml:space="preserve">. </w:t>
            </w:r>
            <w:r w:rsidRPr="00E27862">
              <w:rPr>
                <w:rFonts w:cs="Arial"/>
                <w:iCs/>
                <w:color w:val="auto"/>
                <w:lang w:val="en-US"/>
              </w:rPr>
              <w:t xml:space="preserve"> </w:t>
            </w:r>
            <w:r>
              <w:rPr>
                <w:rFonts w:cs="Arial"/>
                <w:iCs/>
                <w:color w:val="auto"/>
                <w:lang w:val="en-US"/>
              </w:rPr>
              <w:t>I</w:t>
            </w:r>
            <w:r w:rsidRPr="00E27862">
              <w:rPr>
                <w:rFonts w:cs="Arial"/>
                <w:iCs/>
                <w:color w:val="auto"/>
                <w:lang w:val="en-US"/>
              </w:rPr>
              <w:t xml:space="preserve">n general, </w:t>
            </w:r>
            <w:r>
              <w:rPr>
                <w:rFonts w:cs="Arial"/>
                <w:iCs/>
                <w:color w:val="auto"/>
                <w:lang w:val="en-US"/>
              </w:rPr>
              <w:t xml:space="preserve">these gaps </w:t>
            </w:r>
            <w:r w:rsidRPr="00E27862">
              <w:rPr>
                <w:rFonts w:cs="Arial"/>
                <w:iCs/>
                <w:color w:val="auto"/>
                <w:lang w:val="en-US"/>
              </w:rPr>
              <w:t>are more prevalent among our disadvantaged pupils than their peers.</w:t>
            </w:r>
          </w:p>
        </w:tc>
      </w:tr>
      <w:tr w:rsidR="001724A7" w14:paraId="2A7D54F2"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2DDC206" w:rsidR="001724A7" w:rsidRDefault="001724A7" w:rsidP="001724A7">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264CA957" w:rsidR="001724A7" w:rsidRDefault="001724A7" w:rsidP="001724A7">
            <w:pPr>
              <w:pStyle w:val="TableRowCentered"/>
              <w:jc w:val="left"/>
            </w:pPr>
            <w:r w:rsidRPr="00E27862">
              <w:rPr>
                <w:color w:val="auto"/>
                <w:lang w:val="en-US"/>
              </w:rPr>
              <w:t xml:space="preserve">Assessments, observations, and discussions with pupils suggest disadvantaged pupils generally </w:t>
            </w:r>
            <w:r>
              <w:rPr>
                <w:color w:val="auto"/>
                <w:lang w:val="en-US"/>
              </w:rPr>
              <w:t xml:space="preserve">continue to experience </w:t>
            </w:r>
            <w:r w:rsidRPr="00E27862">
              <w:rPr>
                <w:color w:val="auto"/>
                <w:lang w:val="en-US"/>
              </w:rPr>
              <w:t>greater difficulties with phonics</w:t>
            </w:r>
            <w:r>
              <w:rPr>
                <w:color w:val="auto"/>
                <w:lang w:val="en-US"/>
              </w:rPr>
              <w:t xml:space="preserve"> on entry to KS2,</w:t>
            </w:r>
            <w:r w:rsidRPr="00E27862">
              <w:rPr>
                <w:color w:val="auto"/>
                <w:lang w:val="en-US"/>
              </w:rPr>
              <w:t xml:space="preserve"> than their peers. This negatively impacts their development as readers. </w:t>
            </w:r>
          </w:p>
        </w:tc>
      </w:tr>
      <w:tr w:rsidR="00C62601" w14:paraId="07049EB5"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7C0D" w14:textId="1417580B" w:rsidR="00C62601" w:rsidRDefault="00C62601" w:rsidP="001724A7">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7C59C" w14:textId="53734A2F" w:rsidR="00C62601" w:rsidRPr="00E27862" w:rsidRDefault="00C62601" w:rsidP="00C62601">
            <w:pPr>
              <w:pStyle w:val="TableRowCentered"/>
              <w:jc w:val="left"/>
              <w:rPr>
                <w:color w:val="auto"/>
                <w:lang w:val="en-US"/>
              </w:rPr>
            </w:pPr>
            <w:r>
              <w:rPr>
                <w:color w:val="auto"/>
                <w:lang w:val="en-US"/>
              </w:rPr>
              <w:t xml:space="preserve">Assessments and observations indicate that disadvantaged pupils make less progress and attainment in writing by the end of KS2. This is attributed to a combination of factors – oracy skills are not as strong as non-disadvantaged peers; transcription skills are not fully secured by the end of LKS2; this means that </w:t>
            </w:r>
            <w:proofErr w:type="spellStart"/>
            <w:r>
              <w:rPr>
                <w:color w:val="auto"/>
                <w:lang w:val="en-US"/>
              </w:rPr>
              <w:t>chn</w:t>
            </w:r>
            <w:proofErr w:type="spellEnd"/>
            <w:r>
              <w:rPr>
                <w:color w:val="auto"/>
                <w:lang w:val="en-US"/>
              </w:rPr>
              <w:t xml:space="preserve"> have a greater cognitive load when carrying out more complex writing tasks in UKS2.</w:t>
            </w:r>
          </w:p>
        </w:tc>
      </w:tr>
      <w:tr w:rsidR="001724A7" w14:paraId="2A7D54F5"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E44EB90" w:rsidR="001724A7" w:rsidRDefault="00C62601" w:rsidP="001724A7">
            <w:pPr>
              <w:pStyle w:val="TableRow"/>
              <w:rPr>
                <w:sz w:val="22"/>
                <w:szCs w:val="22"/>
              </w:rPr>
            </w:pPr>
            <w:r>
              <w:rPr>
                <w:sz w:val="22"/>
                <w:szCs w:val="22"/>
              </w:rPr>
              <w:lastRenderedPageBreak/>
              <w:t>4</w:t>
            </w:r>
            <w:r w:rsidR="001724A7">
              <w:rPr>
                <w:sz w:val="22"/>
                <w:szCs w:val="22"/>
              </w:rPr>
              <w:t>.</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4817184E" w:rsidR="001724A7" w:rsidRDefault="001724A7" w:rsidP="001724A7">
            <w:pPr>
              <w:suppressAutoHyphens w:val="0"/>
              <w:autoSpaceDN/>
              <w:spacing w:before="60" w:after="120" w:line="240" w:lineRule="auto"/>
              <w:ind w:left="57" w:right="57"/>
              <w:rPr>
                <w:sz w:val="22"/>
                <w:szCs w:val="22"/>
              </w:rPr>
            </w:pPr>
            <w:r w:rsidRPr="00E27862">
              <w:rPr>
                <w:rFonts w:cs="Arial"/>
                <w:iCs/>
                <w:color w:val="auto"/>
                <w:lang w:val="en-US"/>
              </w:rPr>
              <w:t>Internal and external (where available) assessments indicate</w:t>
            </w:r>
            <w:r w:rsidRPr="00E27862">
              <w:rPr>
                <w:iCs/>
                <w:color w:val="auto"/>
                <w:lang w:val="en-US"/>
              </w:rPr>
              <w:t xml:space="preserve"> that </w:t>
            </w:r>
            <w:proofErr w:type="spellStart"/>
            <w:r w:rsidRPr="00E27862">
              <w:rPr>
                <w:iCs/>
                <w:color w:val="auto"/>
                <w:lang w:val="en-US"/>
              </w:rPr>
              <w:t>maths</w:t>
            </w:r>
            <w:proofErr w:type="spellEnd"/>
            <w:r w:rsidRPr="00E27862">
              <w:rPr>
                <w:iCs/>
                <w:color w:val="auto"/>
                <w:lang w:val="en-US"/>
              </w:rPr>
              <w:t xml:space="preserve"> attainment among disadvantaged pupils is significantly below that of non-disadvantaged pupils</w:t>
            </w:r>
            <w:r>
              <w:rPr>
                <w:iCs/>
                <w:color w:val="auto"/>
                <w:lang w:val="en-US"/>
              </w:rPr>
              <w:t xml:space="preserve">, with this </w:t>
            </w:r>
            <w:r w:rsidRPr="00E27862">
              <w:rPr>
                <w:rFonts w:cs="Arial"/>
                <w:iCs/>
                <w:color w:val="auto"/>
                <w:lang w:val="en-US" w:eastAsia="en-US"/>
              </w:rPr>
              <w:t>gap remain</w:t>
            </w:r>
            <w:r>
              <w:rPr>
                <w:rFonts w:cs="Arial"/>
                <w:iCs/>
                <w:color w:val="auto"/>
                <w:lang w:val="en-US" w:eastAsia="en-US"/>
              </w:rPr>
              <w:t>ing</w:t>
            </w:r>
            <w:r w:rsidRPr="00E27862">
              <w:rPr>
                <w:rFonts w:cs="Arial"/>
                <w:iCs/>
                <w:color w:val="auto"/>
                <w:lang w:val="en-US" w:eastAsia="en-US"/>
              </w:rPr>
              <w:t xml:space="preserve"> steady to the end of KS2.</w:t>
            </w:r>
            <w:r>
              <w:rPr>
                <w:rFonts w:cs="Arial"/>
                <w:iCs/>
                <w:color w:val="auto"/>
                <w:lang w:val="en-US" w:eastAsia="en-US"/>
              </w:rPr>
              <w:t xml:space="preserve"> </w:t>
            </w:r>
            <w:r w:rsidR="007274AF">
              <w:rPr>
                <w:rFonts w:cs="Arial"/>
                <w:iCs/>
                <w:color w:val="auto"/>
                <w:lang w:val="en-US" w:eastAsia="en-US"/>
              </w:rPr>
              <w:t xml:space="preserve">Disadvantaged pupils generally underachieve on the Y4 Multiplication Tables check (MTC) – this lack of fluency has a significant impact on further development and attainment in </w:t>
            </w:r>
            <w:proofErr w:type="spellStart"/>
            <w:r w:rsidR="007274AF">
              <w:rPr>
                <w:rFonts w:cs="Arial"/>
                <w:iCs/>
                <w:color w:val="auto"/>
                <w:lang w:val="en-US" w:eastAsia="en-US"/>
              </w:rPr>
              <w:t>maths</w:t>
            </w:r>
            <w:proofErr w:type="spellEnd"/>
            <w:r w:rsidR="007274AF">
              <w:rPr>
                <w:rFonts w:cs="Arial"/>
                <w:iCs/>
                <w:color w:val="auto"/>
                <w:lang w:val="en-US" w:eastAsia="en-US"/>
              </w:rPr>
              <w:t xml:space="preserve">. </w:t>
            </w:r>
          </w:p>
        </w:tc>
      </w:tr>
      <w:tr w:rsidR="001724A7" w14:paraId="2A7D54FB" w14:textId="77777777" w:rsidTr="0085073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58709B6" w:rsidR="001724A7" w:rsidRDefault="001724A7" w:rsidP="001724A7">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0C23B465" w:rsidR="001724A7" w:rsidRPr="002F60A5" w:rsidRDefault="001724A7" w:rsidP="00C62601">
            <w:pPr>
              <w:suppressAutoHyphens w:val="0"/>
              <w:autoSpaceDN/>
              <w:spacing w:before="60" w:line="240" w:lineRule="auto"/>
              <w:ind w:left="57" w:right="57"/>
              <w:rPr>
                <w:rFonts w:cs="Arial"/>
                <w:iCs/>
                <w:color w:val="auto"/>
                <w:lang w:val="en-US"/>
              </w:rPr>
            </w:pPr>
            <w:r w:rsidRPr="00E27862">
              <w:rPr>
                <w:rFonts w:cs="Arial"/>
                <w:iCs/>
                <w:color w:val="auto"/>
                <w:lang w:val="en-US"/>
              </w:rPr>
              <w:t>Our assessments</w:t>
            </w:r>
            <w:r w:rsidR="00765C92">
              <w:rPr>
                <w:rFonts w:cs="Arial"/>
                <w:iCs/>
                <w:color w:val="auto"/>
                <w:lang w:val="en-US"/>
              </w:rPr>
              <w:t>,</w:t>
            </w:r>
            <w:r w:rsidRPr="00E27862">
              <w:rPr>
                <w:rFonts w:cs="Arial"/>
                <w:iCs/>
                <w:color w:val="auto"/>
                <w:lang w:val="en-US"/>
              </w:rPr>
              <w:t xml:space="preserve"> observations and discussions with pupils and families have identified social</w:t>
            </w:r>
            <w:r w:rsidR="007274AF">
              <w:rPr>
                <w:rFonts w:cs="Arial"/>
                <w:iCs/>
                <w:color w:val="auto"/>
                <w:lang w:val="en-US"/>
              </w:rPr>
              <w:t xml:space="preserve">, </w:t>
            </w:r>
            <w:r w:rsidRPr="00E27862">
              <w:rPr>
                <w:rFonts w:cs="Arial"/>
                <w:iCs/>
                <w:color w:val="auto"/>
                <w:lang w:val="en-US"/>
              </w:rPr>
              <w:t xml:space="preserve">emotional </w:t>
            </w:r>
            <w:r w:rsidR="007274AF">
              <w:rPr>
                <w:rFonts w:cs="Arial"/>
                <w:iCs/>
                <w:color w:val="auto"/>
                <w:lang w:val="en-US"/>
              </w:rPr>
              <w:t xml:space="preserve">and mental health difficulties </w:t>
            </w:r>
            <w:r w:rsidRPr="00E27862">
              <w:rPr>
                <w:rFonts w:cs="Arial"/>
                <w:iCs/>
                <w:color w:val="auto"/>
                <w:lang w:val="en-US"/>
              </w:rPr>
              <w:t>for many pupils</w:t>
            </w:r>
            <w:r w:rsidR="00C62601">
              <w:rPr>
                <w:rFonts w:cs="Arial"/>
                <w:iCs/>
                <w:color w:val="auto"/>
                <w:lang w:val="en-US"/>
              </w:rPr>
              <w:t xml:space="preserve">. </w:t>
            </w:r>
            <w:r w:rsidRPr="00E27862">
              <w:rPr>
                <w:rFonts w:cs="Arial"/>
                <w:iCs/>
                <w:color w:val="auto"/>
                <w:lang w:val="en-US"/>
              </w:rPr>
              <w:t>These challenges particularly affect disadvantaged pup</w:t>
            </w:r>
            <w:r w:rsidR="00C62601">
              <w:rPr>
                <w:rFonts w:cs="Arial"/>
                <w:iCs/>
                <w:color w:val="auto"/>
                <w:lang w:val="en-US"/>
              </w:rPr>
              <w:t>ils, including their academic attainment and progress.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3369CC" w14:paraId="2A7D5506"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3B407" w14:textId="77777777" w:rsidR="003369CC" w:rsidRDefault="003369CC" w:rsidP="003369CC">
            <w:pPr>
              <w:pStyle w:val="TableRow"/>
              <w:rPr>
                <w:rFonts w:cs="Arial"/>
                <w:color w:val="auto"/>
              </w:rPr>
            </w:pPr>
            <w:r w:rsidRPr="00E27862">
              <w:rPr>
                <w:rFonts w:cs="Arial"/>
                <w:color w:val="auto"/>
              </w:rPr>
              <w:t>Improved oral language skills and vocabulary among disadvantaged pupils</w:t>
            </w:r>
            <w:r>
              <w:rPr>
                <w:rFonts w:cs="Arial"/>
                <w:color w:val="auto"/>
              </w:rPr>
              <w:t>.</w:t>
            </w:r>
            <w:r w:rsidRPr="00E27862">
              <w:rPr>
                <w:rFonts w:cs="Arial"/>
                <w:color w:val="auto"/>
              </w:rPr>
              <w:t xml:space="preserve"> </w:t>
            </w:r>
          </w:p>
          <w:p w14:paraId="7D6EC6A6" w14:textId="77777777" w:rsidR="002A749C" w:rsidRDefault="002A749C" w:rsidP="003369CC">
            <w:pPr>
              <w:pStyle w:val="TableRow"/>
              <w:rPr>
                <w:rFonts w:cs="Arial"/>
              </w:rPr>
            </w:pPr>
          </w:p>
          <w:p w14:paraId="2A7D5504" w14:textId="3AD4BEFD" w:rsidR="002A749C" w:rsidRDefault="002A749C" w:rsidP="003369CC">
            <w:pPr>
              <w:pStyle w:val="TableRow"/>
            </w:pPr>
            <w:r>
              <w:t>75% of disadvantaged pupils to meet age-related expectations for oracy by end of KS2</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6EAFF0A4" w:rsidR="003369CC" w:rsidRDefault="003369CC" w:rsidP="003369CC">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3369CC" w14:paraId="2A7D5509"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1AD09" w14:textId="240B190F" w:rsidR="003369CC" w:rsidRDefault="002A749C" w:rsidP="003369CC">
            <w:pPr>
              <w:pStyle w:val="TableRow"/>
              <w:rPr>
                <w:rFonts w:cs="Arial"/>
                <w:color w:val="auto"/>
              </w:rPr>
            </w:pPr>
            <w:r>
              <w:rPr>
                <w:rFonts w:cs="Arial"/>
                <w:color w:val="auto"/>
              </w:rPr>
              <w:t>Sustain i</w:t>
            </w:r>
            <w:r w:rsidR="003369CC" w:rsidRPr="00E27862">
              <w:rPr>
                <w:rFonts w:cs="Arial"/>
                <w:color w:val="auto"/>
              </w:rPr>
              <w:t xml:space="preserve">mproved reading attainment among disadvantaged pupils. </w:t>
            </w:r>
          </w:p>
          <w:p w14:paraId="5225222D" w14:textId="77777777" w:rsidR="002A749C" w:rsidRDefault="002A749C" w:rsidP="003369CC">
            <w:pPr>
              <w:pStyle w:val="TableRow"/>
              <w:rPr>
                <w:rFonts w:cs="Arial"/>
                <w:color w:val="auto"/>
              </w:rPr>
            </w:pPr>
          </w:p>
          <w:p w14:paraId="20FE2D5F" w14:textId="11A2C87D" w:rsidR="002A749C" w:rsidRDefault="00331F5C" w:rsidP="003369CC">
            <w:pPr>
              <w:pStyle w:val="TableRow"/>
              <w:rPr>
                <w:rFonts w:cs="Arial"/>
                <w:color w:val="auto"/>
              </w:rPr>
            </w:pPr>
            <w:r>
              <w:rPr>
                <w:rFonts w:cs="Arial"/>
                <w:color w:val="auto"/>
              </w:rPr>
              <w:t>Attainment for PP and non-PP to remain in-line at the end of KS2 (see outcomes in Part B)</w:t>
            </w:r>
          </w:p>
          <w:p w14:paraId="2A7D5507" w14:textId="0EAFD2AB" w:rsidR="002A749C" w:rsidRDefault="002A749C" w:rsidP="003369CC">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72BDA" w14:textId="013C2C49" w:rsidR="007274AF" w:rsidRDefault="007274AF" w:rsidP="003369CC">
            <w:pPr>
              <w:pStyle w:val="TableRowCentered"/>
              <w:jc w:val="left"/>
              <w:rPr>
                <w:rFonts w:cs="Arial"/>
                <w:color w:val="auto"/>
              </w:rPr>
            </w:pPr>
            <w:r>
              <w:rPr>
                <w:rFonts w:cs="Arial"/>
                <w:color w:val="auto"/>
              </w:rPr>
              <w:t xml:space="preserve">Internal assessments indicate similar rates of progress from starting points for disadvantaged pupils and their peers. </w:t>
            </w:r>
          </w:p>
          <w:p w14:paraId="2A7D5508" w14:textId="58004786" w:rsidR="003369CC" w:rsidRDefault="003369CC" w:rsidP="003369CC">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2024/25 show that </w:t>
            </w:r>
            <w:r w:rsidR="006F5C0F">
              <w:rPr>
                <w:rFonts w:cs="Arial"/>
                <w:color w:val="auto"/>
                <w:lang w:eastAsia="en-US"/>
              </w:rPr>
              <w:t xml:space="preserve">non-SEN </w:t>
            </w:r>
            <w:r w:rsidRPr="00E27862">
              <w:rPr>
                <w:rFonts w:cs="Arial"/>
                <w:color w:val="auto"/>
                <w:lang w:eastAsia="en-US"/>
              </w:rPr>
              <w:t>disadvantaged pupils m</w:t>
            </w:r>
            <w:r w:rsidR="006F5C0F">
              <w:rPr>
                <w:rFonts w:cs="Arial"/>
                <w:color w:val="auto"/>
                <w:lang w:eastAsia="en-US"/>
              </w:rPr>
              <w:t>e</w:t>
            </w:r>
            <w:r w:rsidRPr="00E27862">
              <w:rPr>
                <w:rFonts w:cs="Arial"/>
                <w:color w:val="auto"/>
                <w:lang w:eastAsia="en-US"/>
              </w:rPr>
              <w:t>et the expected standard.</w:t>
            </w:r>
          </w:p>
        </w:tc>
      </w:tr>
      <w:tr w:rsidR="00C62601" w14:paraId="702370B0"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9E4854" w14:textId="77777777" w:rsidR="00C62601" w:rsidRDefault="00C62601" w:rsidP="00C62601">
            <w:pPr>
              <w:pStyle w:val="TableRow"/>
              <w:rPr>
                <w:rFonts w:cs="Arial"/>
                <w:color w:val="auto"/>
              </w:rPr>
            </w:pPr>
            <w:r>
              <w:rPr>
                <w:rFonts w:cs="Arial"/>
                <w:color w:val="auto"/>
              </w:rPr>
              <w:t>Improved outcomes in writing among disadvantaged pupils.</w:t>
            </w:r>
            <w:r w:rsidR="00331F5C">
              <w:rPr>
                <w:rFonts w:cs="Arial"/>
                <w:color w:val="auto"/>
              </w:rPr>
              <w:t xml:space="preserve"> </w:t>
            </w:r>
          </w:p>
          <w:p w14:paraId="41CCA449" w14:textId="77777777" w:rsidR="00331F5C" w:rsidRDefault="00331F5C" w:rsidP="00C62601">
            <w:pPr>
              <w:pStyle w:val="TableRow"/>
              <w:rPr>
                <w:rFonts w:cs="Arial"/>
                <w:color w:val="auto"/>
              </w:rPr>
            </w:pPr>
          </w:p>
          <w:p w14:paraId="0779CAFA" w14:textId="44D0F608" w:rsidR="00331F5C" w:rsidRPr="00E27862" w:rsidRDefault="00331F5C" w:rsidP="00C62601">
            <w:pPr>
              <w:pStyle w:val="TableRow"/>
              <w:rPr>
                <w:rFonts w:cs="Arial"/>
                <w:color w:val="auto"/>
              </w:rPr>
            </w:pPr>
            <w:r>
              <w:rPr>
                <w:rFonts w:cs="Arial"/>
                <w:color w:val="auto"/>
              </w:rPr>
              <w:t>60% of PP children to achieve EXS in writing at the end of KS2 (in-line with national for 2025)</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6C9F2D" w14:textId="509216AC" w:rsidR="00C62601" w:rsidRDefault="00CE2399" w:rsidP="00C62601">
            <w:pPr>
              <w:pStyle w:val="TableRowCentered"/>
              <w:jc w:val="left"/>
              <w:rPr>
                <w:rFonts w:cs="Arial"/>
                <w:color w:val="auto"/>
              </w:rPr>
            </w:pPr>
            <w:r>
              <w:rPr>
                <w:rFonts w:cs="Arial"/>
                <w:color w:val="auto"/>
              </w:rPr>
              <w:t xml:space="preserve">A revised </w:t>
            </w:r>
            <w:r w:rsidR="00356C49">
              <w:rPr>
                <w:rFonts w:cs="Arial"/>
                <w:color w:val="auto"/>
              </w:rPr>
              <w:t xml:space="preserve">‘Writing Process at All Saints’ was introduced in January 2025; focus is on </w:t>
            </w:r>
            <w:r w:rsidR="006C506B">
              <w:rPr>
                <w:rFonts w:cs="Arial"/>
                <w:color w:val="auto"/>
              </w:rPr>
              <w:t>reducing the cognitive load for writing by slowing down the process and including a greater focus on securing transcription skills by the</w:t>
            </w:r>
            <w:r w:rsidR="00767C9C">
              <w:rPr>
                <w:rFonts w:cs="Arial"/>
                <w:color w:val="auto"/>
              </w:rPr>
              <w:t xml:space="preserve"> end of lower KS2. </w:t>
            </w:r>
          </w:p>
        </w:tc>
      </w:tr>
      <w:tr w:rsidR="003369CC" w14:paraId="2A7D550C"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3124C6" w14:textId="77777777" w:rsidR="003369CC" w:rsidRDefault="003369CC" w:rsidP="003369CC">
            <w:pPr>
              <w:pStyle w:val="TableRow"/>
              <w:rPr>
                <w:rFonts w:cs="Arial"/>
                <w:color w:val="auto"/>
              </w:rPr>
            </w:pPr>
            <w:r w:rsidRPr="00E27862">
              <w:rPr>
                <w:rFonts w:cs="Arial"/>
                <w:color w:val="auto"/>
              </w:rPr>
              <w:t xml:space="preserve">Improved maths attainment for disadvantaged pupils at the end of KS2. </w:t>
            </w:r>
          </w:p>
          <w:p w14:paraId="0A919D8E" w14:textId="77777777" w:rsidR="00331F5C" w:rsidRDefault="00331F5C" w:rsidP="003369CC">
            <w:pPr>
              <w:pStyle w:val="TableRow"/>
            </w:pPr>
          </w:p>
          <w:p w14:paraId="4CC21A5C" w14:textId="77777777" w:rsidR="00331F5C" w:rsidRDefault="00331F5C" w:rsidP="003369CC">
            <w:pPr>
              <w:pStyle w:val="TableRow"/>
            </w:pPr>
            <w:r>
              <w:t>60% of PP children to achieve EXS in ma</w:t>
            </w:r>
            <w:r w:rsidR="006F2A8B">
              <w:t>ths at the end of KS2 (in line with national for 2025)</w:t>
            </w:r>
          </w:p>
          <w:p w14:paraId="600FD731" w14:textId="77777777" w:rsidR="006F2A8B" w:rsidRDefault="006F2A8B" w:rsidP="003369CC">
            <w:pPr>
              <w:pStyle w:val="TableRow"/>
            </w:pPr>
          </w:p>
          <w:p w14:paraId="2A7D550A" w14:textId="5D4B960C" w:rsidR="006F2A8B" w:rsidRDefault="006F2A8B" w:rsidP="003369CC">
            <w:pPr>
              <w:pStyle w:val="TableRow"/>
              <w:rPr>
                <w:sz w:val="22"/>
                <w:szCs w:val="22"/>
              </w:rPr>
            </w:pPr>
            <w:r>
              <w:lastRenderedPageBreak/>
              <w:t xml:space="preserve">Y4 MTC: Reduce the gap from 3.7 to 2 points between PP and non-PP children.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D72BAE" w14:textId="77777777" w:rsidR="007274AF" w:rsidRDefault="007274AF" w:rsidP="007274AF">
            <w:pPr>
              <w:pStyle w:val="TableRowCentered"/>
              <w:jc w:val="left"/>
              <w:rPr>
                <w:rFonts w:cs="Arial"/>
                <w:color w:val="auto"/>
              </w:rPr>
            </w:pPr>
            <w:r>
              <w:rPr>
                <w:rFonts w:cs="Arial"/>
                <w:color w:val="auto"/>
              </w:rPr>
              <w:lastRenderedPageBreak/>
              <w:t xml:space="preserve">Internal assessments indicate similar rates of progress from starting points for disadvantaged pupils and their peers. </w:t>
            </w:r>
          </w:p>
          <w:p w14:paraId="030B9EC9" w14:textId="73BC2FC4" w:rsidR="007274AF" w:rsidRDefault="007274AF" w:rsidP="003369CC">
            <w:pPr>
              <w:pStyle w:val="TableRowCentered"/>
              <w:spacing w:after="120"/>
              <w:jc w:val="left"/>
              <w:rPr>
                <w:rFonts w:cs="Arial"/>
                <w:color w:val="auto"/>
              </w:rPr>
            </w:pPr>
            <w:r>
              <w:rPr>
                <w:rFonts w:cs="Arial"/>
                <w:color w:val="auto"/>
              </w:rPr>
              <w:t xml:space="preserve">Increased fluency with number, especially rapid recall with times tables facts, enables better outcomes. </w:t>
            </w:r>
          </w:p>
          <w:p w14:paraId="2A7D550B" w14:textId="42E5B41B" w:rsidR="003369CC" w:rsidRDefault="003369CC" w:rsidP="006F5C0F">
            <w:pPr>
              <w:pStyle w:val="TableRowCentered"/>
              <w:spacing w:after="120"/>
              <w:jc w:val="left"/>
              <w:rPr>
                <w:sz w:val="22"/>
                <w:szCs w:val="22"/>
              </w:rPr>
            </w:pPr>
            <w:r w:rsidRPr="00E27862">
              <w:rPr>
                <w:rFonts w:cs="Arial"/>
                <w:color w:val="auto"/>
              </w:rPr>
              <w:lastRenderedPageBreak/>
              <w:t>KS2</w:t>
            </w:r>
            <w:r w:rsidRPr="00E27862">
              <w:rPr>
                <w:rFonts w:cs="Arial"/>
                <w:color w:val="auto"/>
                <w:szCs w:val="24"/>
                <w:lang w:eastAsia="en-US"/>
              </w:rPr>
              <w:t xml:space="preserve"> maths outcomes in 2024/25 show that </w:t>
            </w:r>
            <w:r w:rsidR="006F5C0F">
              <w:rPr>
                <w:rFonts w:cs="Arial"/>
                <w:color w:val="auto"/>
                <w:szCs w:val="24"/>
                <w:lang w:eastAsia="en-US"/>
              </w:rPr>
              <w:t xml:space="preserve">non-SEN </w:t>
            </w:r>
            <w:r w:rsidRPr="00E27862">
              <w:rPr>
                <w:rStyle w:val="CommentReference"/>
                <w:color w:val="auto"/>
              </w:rPr>
              <w:t>disadvantaged pupils m</w:t>
            </w:r>
            <w:r w:rsidR="006F5C0F">
              <w:rPr>
                <w:rStyle w:val="CommentReference"/>
                <w:color w:val="auto"/>
              </w:rPr>
              <w:t>e</w:t>
            </w:r>
            <w:r w:rsidRPr="00E27862">
              <w:rPr>
                <w:rStyle w:val="CommentReference"/>
                <w:color w:val="auto"/>
              </w:rPr>
              <w:t>et the expected standard.</w:t>
            </w:r>
          </w:p>
        </w:tc>
      </w:tr>
      <w:tr w:rsidR="003369CC" w14:paraId="2A7D550F" w14:textId="77777777" w:rsidTr="0088511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11978CA3" w:rsidR="003369CC" w:rsidRDefault="003369CC" w:rsidP="003369CC">
            <w:pPr>
              <w:pStyle w:val="TableRow"/>
              <w:rPr>
                <w:sz w:val="22"/>
                <w:szCs w:val="22"/>
              </w:rPr>
            </w:pPr>
            <w:r w:rsidRPr="00E27862">
              <w:rPr>
                <w:rFonts w:cs="Arial"/>
                <w:color w:val="auto"/>
              </w:rPr>
              <w:lastRenderedPageBreak/>
              <w:t>To achieve and sustain improved wellbeing for all pupils in our school, particularly our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AFFAF" w14:textId="27A8D84F" w:rsidR="003369CC" w:rsidRDefault="003369CC" w:rsidP="003369CC">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14:paraId="212FDECD" w14:textId="06824DAB" w:rsidR="003369CC" w:rsidRPr="00D8409C" w:rsidRDefault="003369CC" w:rsidP="00D8409C">
            <w:pPr>
              <w:pStyle w:val="ListParagraph"/>
              <w:numPr>
                <w:ilvl w:val="0"/>
                <w:numId w:val="20"/>
              </w:numPr>
              <w:suppressAutoHyphens w:val="0"/>
              <w:autoSpaceDN/>
              <w:spacing w:before="60" w:after="120" w:line="240" w:lineRule="auto"/>
              <w:ind w:right="57"/>
              <w:rPr>
                <w:rFonts w:cs="Arial"/>
                <w:color w:val="auto"/>
              </w:rPr>
            </w:pPr>
            <w:r w:rsidRPr="00D8409C">
              <w:rPr>
                <w:rFonts w:cs="Arial"/>
                <w:color w:val="auto"/>
              </w:rPr>
              <w:t xml:space="preserve">qualitative data from </w:t>
            </w:r>
            <w:r w:rsidR="007274AF" w:rsidRPr="00D8409C">
              <w:rPr>
                <w:rFonts w:cs="Arial"/>
                <w:color w:val="auto"/>
              </w:rPr>
              <w:t xml:space="preserve">pupil </w:t>
            </w:r>
            <w:r w:rsidRPr="00D8409C">
              <w:rPr>
                <w:rFonts w:cs="Arial"/>
                <w:color w:val="auto"/>
              </w:rPr>
              <w:t xml:space="preserve">and parent </w:t>
            </w:r>
            <w:r w:rsidR="007274AF" w:rsidRPr="00D8409C">
              <w:rPr>
                <w:rFonts w:cs="Arial"/>
                <w:color w:val="auto"/>
              </w:rPr>
              <w:t>questionnaires</w:t>
            </w:r>
            <w:r w:rsidRPr="00D8409C">
              <w:rPr>
                <w:rFonts w:cs="Arial"/>
                <w:color w:val="auto"/>
              </w:rPr>
              <w:t xml:space="preserve"> and teacher observations</w:t>
            </w:r>
          </w:p>
          <w:p w14:paraId="333B12BA" w14:textId="77777777" w:rsidR="00D8409C" w:rsidRDefault="00D8409C" w:rsidP="00D8409C">
            <w:pPr>
              <w:suppressAutoHyphens w:val="0"/>
              <w:autoSpaceDN/>
              <w:spacing w:before="60" w:after="120" w:line="240" w:lineRule="auto"/>
              <w:ind w:left="57" w:right="57"/>
              <w:rPr>
                <w:rFonts w:cs="Arial"/>
                <w:color w:val="auto"/>
              </w:rPr>
            </w:pPr>
            <w:r>
              <w:rPr>
                <w:rFonts w:cs="Arial"/>
                <w:color w:val="auto"/>
              </w:rPr>
              <w:t>Q</w:t>
            </w:r>
            <w:r w:rsidRPr="00D8409C">
              <w:rPr>
                <w:rFonts w:cs="Arial"/>
                <w:color w:val="auto"/>
              </w:rPr>
              <w:t>ualitative and quantitative data from behaviour reports</w:t>
            </w:r>
            <w:r>
              <w:rPr>
                <w:rFonts w:cs="Arial"/>
                <w:color w:val="auto"/>
              </w:rPr>
              <w:t xml:space="preserve"> indicating: </w:t>
            </w:r>
          </w:p>
          <w:p w14:paraId="0732BFE0" w14:textId="77777777" w:rsidR="00D8409C" w:rsidRDefault="00D8409C" w:rsidP="00D8409C">
            <w:pPr>
              <w:pStyle w:val="ListParagraph"/>
              <w:numPr>
                <w:ilvl w:val="0"/>
                <w:numId w:val="20"/>
              </w:numPr>
              <w:suppressAutoHyphens w:val="0"/>
              <w:autoSpaceDN/>
              <w:spacing w:before="60" w:after="120" w:line="240" w:lineRule="auto"/>
              <w:ind w:right="57"/>
              <w:rPr>
                <w:rFonts w:cs="Arial"/>
                <w:color w:val="auto"/>
              </w:rPr>
            </w:pPr>
            <w:r>
              <w:rPr>
                <w:rFonts w:cs="Arial"/>
                <w:color w:val="auto"/>
              </w:rPr>
              <w:t>reduction in the number of reports</w:t>
            </w:r>
          </w:p>
          <w:p w14:paraId="249563BD" w14:textId="77777777" w:rsidR="00D8409C" w:rsidRDefault="00D8409C" w:rsidP="00D8409C">
            <w:pPr>
              <w:pStyle w:val="ListParagraph"/>
              <w:numPr>
                <w:ilvl w:val="0"/>
                <w:numId w:val="20"/>
              </w:numPr>
              <w:suppressAutoHyphens w:val="0"/>
              <w:autoSpaceDN/>
              <w:spacing w:before="60" w:after="120" w:line="240" w:lineRule="auto"/>
              <w:ind w:right="57"/>
              <w:rPr>
                <w:rFonts w:cs="Arial"/>
                <w:color w:val="auto"/>
              </w:rPr>
            </w:pPr>
            <w:r>
              <w:rPr>
                <w:rFonts w:cs="Arial"/>
                <w:color w:val="auto"/>
              </w:rPr>
              <w:t>reduction in the number of persistent difficulties</w:t>
            </w:r>
            <w:r w:rsidRPr="00D8409C">
              <w:rPr>
                <w:rFonts w:cs="Arial"/>
                <w:color w:val="auto"/>
              </w:rPr>
              <w:t xml:space="preserve">; </w:t>
            </w:r>
          </w:p>
          <w:p w14:paraId="6BE02FD5" w14:textId="6D6B802D" w:rsidR="007274AF" w:rsidRPr="00D8409C" w:rsidRDefault="00D8409C" w:rsidP="00D8409C">
            <w:pPr>
              <w:suppressAutoHyphens w:val="0"/>
              <w:autoSpaceDN/>
              <w:spacing w:before="60" w:after="120" w:line="240" w:lineRule="auto"/>
              <w:ind w:left="34" w:right="57"/>
              <w:rPr>
                <w:rFonts w:cs="Arial"/>
                <w:color w:val="auto"/>
              </w:rPr>
            </w:pPr>
            <w:r>
              <w:rPr>
                <w:rFonts w:cs="Arial"/>
                <w:color w:val="auto"/>
              </w:rPr>
              <w:t>E</w:t>
            </w:r>
            <w:r w:rsidRPr="00D8409C">
              <w:rPr>
                <w:rFonts w:cs="Arial"/>
                <w:color w:val="auto"/>
              </w:rPr>
              <w:t xml:space="preserve">mbedded use of the Zones of Regulation approach </w:t>
            </w:r>
            <w:r>
              <w:rPr>
                <w:rFonts w:cs="Arial"/>
                <w:color w:val="auto"/>
              </w:rPr>
              <w:t xml:space="preserve">enables pupils to self-regulate using appropriate strategies. </w:t>
            </w:r>
            <w:r w:rsidRPr="00D8409C">
              <w:rPr>
                <w:rFonts w:cs="Arial"/>
                <w:color w:val="auto"/>
              </w:rPr>
              <w:t xml:space="preserve"> </w:t>
            </w:r>
          </w:p>
          <w:p w14:paraId="2A7D550E" w14:textId="6765AE1C" w:rsidR="003369CC" w:rsidRDefault="003369CC" w:rsidP="003369CC">
            <w:pPr>
              <w:pStyle w:val="TableRowCentered"/>
              <w:jc w:val="left"/>
              <w:rPr>
                <w:sz w:val="22"/>
                <w:szCs w:val="22"/>
              </w:rPr>
            </w:pPr>
          </w:p>
        </w:tc>
      </w:tr>
    </w:tbl>
    <w:p w14:paraId="2A7D5512" w14:textId="6577DB3C" w:rsidR="00E66558" w:rsidRDefault="009D71E8" w:rsidP="00765C92">
      <w:pPr>
        <w:pStyle w:val="Heading2"/>
        <w:tabs>
          <w:tab w:val="left" w:pos="2670"/>
        </w:tabs>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887CE7E" w:rsidR="00E66558" w:rsidRDefault="009D71E8">
      <w:r>
        <w:t xml:space="preserve">Budgeted </w:t>
      </w:r>
      <w:r w:rsidRPr="00CF7A76">
        <w:t>cost: £</w:t>
      </w:r>
      <w:r w:rsidR="00B4272C">
        <w:t>1</w:t>
      </w:r>
      <w:r w:rsidR="00662245">
        <w:t>6</w:t>
      </w:r>
      <w:r w:rsidR="00784440" w:rsidRPr="00CF7A76">
        <w:t>,</w:t>
      </w:r>
      <w:r w:rsidR="00522A43">
        <w:t>0</w:t>
      </w:r>
      <w:r w:rsidR="00296997">
        <w:t>00</w:t>
      </w:r>
    </w:p>
    <w:tbl>
      <w:tblPr>
        <w:tblW w:w="5000" w:type="pct"/>
        <w:tblCellMar>
          <w:left w:w="10" w:type="dxa"/>
          <w:right w:w="10" w:type="dxa"/>
        </w:tblCellMar>
        <w:tblLook w:val="04A0" w:firstRow="1" w:lastRow="0" w:firstColumn="1" w:lastColumn="0" w:noHBand="0" w:noVBand="1"/>
      </w:tblPr>
      <w:tblGrid>
        <w:gridCol w:w="2338"/>
        <w:gridCol w:w="5454"/>
        <w:gridCol w:w="1694"/>
      </w:tblGrid>
      <w:tr w:rsidR="00E66558" w14:paraId="2A7D5519" w14:textId="77777777" w:rsidTr="001724A7">
        <w:tc>
          <w:tcPr>
            <w:tcW w:w="29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1724A7" w14:paraId="2A7D551D" w14:textId="77777777" w:rsidTr="001724A7">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11C23510" w:rsidR="003369CC" w:rsidRDefault="00C707FE" w:rsidP="00C707FE">
            <w:pPr>
              <w:pStyle w:val="TableRow"/>
            </w:pPr>
            <w:r>
              <w:rPr>
                <w:rFonts w:cs="Arial"/>
                <w:color w:val="auto"/>
                <w:shd w:val="clear" w:color="auto" w:fill="FFFFFF"/>
              </w:rPr>
              <w:t xml:space="preserve">Time allocated for teaching and support staff to implement standardised </w:t>
            </w:r>
            <w:r w:rsidR="003369CC" w:rsidRPr="00E27862">
              <w:rPr>
                <w:rFonts w:cs="Arial"/>
                <w:color w:val="auto"/>
                <w:shd w:val="clear" w:color="auto" w:fill="FFFFFF"/>
              </w:rPr>
              <w:t>assessments</w:t>
            </w:r>
            <w:r>
              <w:rPr>
                <w:rFonts w:cs="Arial"/>
                <w:color w:val="auto"/>
                <w:shd w:val="clear" w:color="auto" w:fill="FFFFFF"/>
              </w:rPr>
              <w:t xml:space="preserve">. </w:t>
            </w:r>
            <w:r w:rsidR="003369CC" w:rsidRPr="00E27862">
              <w:rPr>
                <w:rFonts w:cs="Arial"/>
                <w:color w:val="auto"/>
                <w:shd w:val="clear" w:color="auto" w:fill="FFFFFF"/>
              </w:rPr>
              <w:t xml:space="preserve">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4C86EA" w14:textId="77777777" w:rsidR="003369CC" w:rsidRPr="00E27862" w:rsidRDefault="003369CC" w:rsidP="003369CC">
            <w:pPr>
              <w:pStyle w:val="TableRowCentered"/>
              <w:jc w:val="left"/>
              <w:rPr>
                <w:color w:val="auto"/>
                <w:szCs w:val="24"/>
              </w:rPr>
            </w:pPr>
            <w:r w:rsidRPr="00E27862">
              <w:rPr>
                <w:color w:val="auto"/>
                <w:szCs w:val="24"/>
              </w:rPr>
              <w:t>Standardised tests can provide reliable insights into the specific strengths and weaknesses of each pupil to help ensure they receive the correct additional support through interventions or teacher instruction:</w:t>
            </w:r>
          </w:p>
          <w:p w14:paraId="2A7D551B" w14:textId="33E07050" w:rsidR="003369CC" w:rsidRDefault="007565BF" w:rsidP="003369CC">
            <w:pPr>
              <w:pStyle w:val="TableRowCentered"/>
              <w:jc w:val="left"/>
              <w:rPr>
                <w:sz w:val="22"/>
              </w:rPr>
            </w:pPr>
            <w:hyperlink r:id="rId10" w:history="1">
              <w:r w:rsidR="003369CC" w:rsidRPr="00E700F5">
                <w:rPr>
                  <w:color w:val="0070C0"/>
                  <w:szCs w:val="24"/>
                  <w:u w:val="single"/>
                </w:rPr>
                <w:t>Standardised tests | Assessing and Monitoring Pupil Progress | Education Endowment Foundation | EEF</w:t>
              </w:r>
            </w:hyperlink>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44417478" w:rsidR="003369CC" w:rsidRDefault="003369CC" w:rsidP="003369CC">
            <w:pPr>
              <w:pStyle w:val="TableRowCentered"/>
              <w:jc w:val="left"/>
              <w:rPr>
                <w:sz w:val="22"/>
              </w:rPr>
            </w:pPr>
            <w:r w:rsidRPr="00E27862">
              <w:rPr>
                <w:color w:val="auto"/>
                <w:szCs w:val="24"/>
              </w:rPr>
              <w:t xml:space="preserve">1, 2, 3, 4 </w:t>
            </w:r>
          </w:p>
        </w:tc>
      </w:tr>
      <w:tr w:rsidR="001724A7" w14:paraId="2A7D5521" w14:textId="77777777" w:rsidTr="001724A7">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DFD68" w14:textId="2402C232" w:rsidR="003369CC" w:rsidRPr="00E27862" w:rsidRDefault="003369CC" w:rsidP="003369CC">
            <w:pPr>
              <w:suppressAutoHyphens w:val="0"/>
              <w:autoSpaceDN/>
              <w:spacing w:before="60" w:line="240" w:lineRule="auto"/>
              <w:ind w:left="29" w:right="57"/>
              <w:rPr>
                <w:iCs/>
                <w:color w:val="auto"/>
                <w:lang w:val="en-US"/>
              </w:rPr>
            </w:pPr>
            <w:r w:rsidRPr="00E27862">
              <w:rPr>
                <w:iCs/>
                <w:color w:val="auto"/>
                <w:lang w:val="en-US"/>
              </w:rPr>
              <w:t xml:space="preserve">Embedding dialogic activities </w:t>
            </w:r>
            <w:r w:rsidR="008D0CD5">
              <w:rPr>
                <w:iCs/>
                <w:color w:val="auto"/>
                <w:lang w:val="en-US"/>
              </w:rPr>
              <w:t>(</w:t>
            </w:r>
            <w:r w:rsidR="008D0CD5" w:rsidRPr="008D0CD5">
              <w:rPr>
                <w:iCs/>
                <w:color w:val="auto"/>
              </w:rPr>
              <w:t>the use of conversation or shared dialogue to explore the meaning of something</w:t>
            </w:r>
            <w:r w:rsidR="002844A5">
              <w:rPr>
                <w:iCs/>
                <w:color w:val="auto"/>
              </w:rPr>
              <w:t>)</w:t>
            </w:r>
            <w:r w:rsidR="008D0CD5">
              <w:rPr>
                <w:iCs/>
                <w:color w:val="auto"/>
                <w:lang w:val="en-US"/>
              </w:rPr>
              <w:t xml:space="preserve"> </w:t>
            </w:r>
            <w:r w:rsidRPr="00E27862">
              <w:rPr>
                <w:iCs/>
                <w:color w:val="auto"/>
                <w:lang w:val="en-US"/>
              </w:rPr>
              <w:t xml:space="preserve">across </w:t>
            </w:r>
            <w:r w:rsidRPr="00E27862">
              <w:rPr>
                <w:iCs/>
                <w:color w:val="auto"/>
                <w:lang w:val="en-US"/>
              </w:rPr>
              <w:lastRenderedPageBreak/>
              <w:t xml:space="preserve">the school curriculum. These can support pupils to articulate key ideas, consolidate understanding and extend vocabulary. </w:t>
            </w:r>
          </w:p>
          <w:p w14:paraId="2A7D551E" w14:textId="7F8F4223" w:rsidR="003369CC" w:rsidRDefault="003369CC" w:rsidP="003369CC">
            <w:pPr>
              <w:pStyle w:val="TableRow"/>
              <w:rPr>
                <w:i/>
                <w:sz w:val="22"/>
              </w:rPr>
            </w:pPr>
            <w:r w:rsidRPr="00E27862">
              <w:rPr>
                <w:color w:val="auto"/>
              </w:rPr>
              <w:t xml:space="preserve">We will purchase resources and fund ongoing teacher training and release time.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E9443B" w14:textId="77777777" w:rsidR="003369CC" w:rsidRPr="00E27862" w:rsidRDefault="003369CC" w:rsidP="003369CC">
            <w:pPr>
              <w:suppressAutoHyphens w:val="0"/>
              <w:autoSpaceDN/>
              <w:spacing w:before="60" w:after="60" w:line="240" w:lineRule="auto"/>
              <w:ind w:left="57" w:right="57"/>
              <w:rPr>
                <w:rFonts w:cs="Arial"/>
                <w:color w:val="auto"/>
              </w:rPr>
            </w:pPr>
            <w:r w:rsidRPr="00E27862">
              <w:rPr>
                <w:rFonts w:cs="Arial"/>
                <w:color w:val="auto"/>
              </w:rPr>
              <w:lastRenderedPageBreak/>
              <w:t>There is a strong evidence base that suggests oral language interventions, including dialogic activities such as high-quality classroom discussion, are inexpensive to implement with high impacts on reading:</w:t>
            </w:r>
          </w:p>
          <w:p w14:paraId="51F37976" w14:textId="77777777" w:rsidR="003369CC" w:rsidRDefault="007565BF" w:rsidP="003369CC">
            <w:pPr>
              <w:pStyle w:val="TableRowCentered"/>
              <w:jc w:val="left"/>
              <w:rPr>
                <w:rFonts w:cs="Arial"/>
                <w:color w:val="0070C0"/>
                <w:u w:val="single"/>
              </w:rPr>
            </w:pPr>
            <w:hyperlink r:id="rId11" w:history="1">
              <w:r w:rsidR="003369CC" w:rsidRPr="00391C6D">
                <w:rPr>
                  <w:rFonts w:cs="Arial"/>
                  <w:color w:val="0070C0"/>
                  <w:u w:val="single"/>
                </w:rPr>
                <w:t>Oral language interventions | Toolkit Strand | Education Endowment Foundation | EEF</w:t>
              </w:r>
            </w:hyperlink>
          </w:p>
          <w:p w14:paraId="2A7D551F" w14:textId="7DB0DA5F" w:rsidR="00C707FE" w:rsidRDefault="007565BF" w:rsidP="003369CC">
            <w:pPr>
              <w:pStyle w:val="TableRowCentered"/>
              <w:jc w:val="left"/>
              <w:rPr>
                <w:sz w:val="22"/>
              </w:rPr>
            </w:pPr>
            <w:hyperlink r:id="rId12" w:history="1">
              <w:r w:rsidR="00C707FE" w:rsidRPr="00E479F6">
                <w:rPr>
                  <w:rStyle w:val="Hyperlink"/>
                  <w:sz w:val="22"/>
                </w:rPr>
                <w:t>https://www.gov.uk/government/publications/subject-report-series-english/telling-the-story-the-english-education-subject-report</w:t>
              </w:r>
            </w:hyperlink>
            <w:r w:rsidR="00C707FE">
              <w:rPr>
                <w:sz w:val="22"/>
              </w:rPr>
              <w:t xml:space="preserve">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1A39B0AD" w:rsidR="003369CC" w:rsidRDefault="003369CC" w:rsidP="003369CC">
            <w:pPr>
              <w:pStyle w:val="TableRowCentered"/>
              <w:jc w:val="left"/>
              <w:rPr>
                <w:sz w:val="22"/>
              </w:rPr>
            </w:pPr>
            <w:r w:rsidRPr="00E27862">
              <w:rPr>
                <w:color w:val="auto"/>
                <w:sz w:val="22"/>
                <w:szCs w:val="22"/>
              </w:rPr>
              <w:lastRenderedPageBreak/>
              <w:t>1</w:t>
            </w:r>
            <w:r w:rsidR="00C707FE">
              <w:rPr>
                <w:color w:val="auto"/>
                <w:sz w:val="22"/>
                <w:szCs w:val="22"/>
              </w:rPr>
              <w:t>, 3</w:t>
            </w:r>
          </w:p>
        </w:tc>
      </w:tr>
      <w:tr w:rsidR="00417A0F" w14:paraId="7B00E91E" w14:textId="77777777" w:rsidTr="001724A7">
        <w:trPr>
          <w:trHeight w:val="2117"/>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C0043" w14:textId="77777777" w:rsidR="00417A0F" w:rsidRPr="00E27862" w:rsidRDefault="00417A0F" w:rsidP="00417A0F">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24BCB909" w14:textId="6443C0CF" w:rsidR="00417A0F" w:rsidRPr="00E27862" w:rsidRDefault="00417A0F" w:rsidP="00C707FE">
            <w:pPr>
              <w:suppressAutoHyphens w:val="0"/>
              <w:autoSpaceDN/>
              <w:spacing w:before="60" w:line="240" w:lineRule="auto"/>
              <w:ind w:left="29" w:right="57"/>
              <w:rPr>
                <w:iCs/>
                <w:color w:val="auto"/>
                <w:lang w:val="en-US"/>
              </w:rPr>
            </w:pPr>
            <w:r w:rsidRPr="00E27862">
              <w:rPr>
                <w:color w:val="auto"/>
              </w:rPr>
              <w:t>We will fund teacher release time to embed key elements of guidance in school and to access Maths Hub resources and CPD</w:t>
            </w:r>
            <w:r w:rsidR="007C358D">
              <w:rPr>
                <w:color w:val="auto"/>
              </w:rPr>
              <w:t>; Two of our TAs are engaged in a</w:t>
            </w:r>
            <w:r w:rsidR="006B5FEB">
              <w:rPr>
                <w:color w:val="auto"/>
              </w:rPr>
              <w:t xml:space="preserve"> programme of CPD across the 25/26 academic year.</w:t>
            </w:r>
            <w:r w:rsidRPr="00E27862">
              <w:rPr>
                <w:color w:val="auto"/>
              </w:rPr>
              <w:t xml:space="preserve">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D559F" w14:textId="77777777" w:rsidR="00417A0F" w:rsidRPr="00E27862" w:rsidRDefault="00417A0F" w:rsidP="00417A0F">
            <w:pPr>
              <w:suppressAutoHyphens w:val="0"/>
              <w:autoSpaceDN/>
              <w:spacing w:before="60" w:after="60" w:line="240" w:lineRule="auto"/>
              <w:ind w:left="57" w:right="57"/>
              <w:rPr>
                <w:rFonts w:cs="Arial"/>
                <w:iCs/>
                <w:color w:val="auto"/>
              </w:rPr>
            </w:pPr>
            <w:r w:rsidRPr="00E27862">
              <w:rPr>
                <w:rFonts w:cs="Arial"/>
                <w:iCs/>
                <w:color w:val="auto"/>
              </w:rPr>
              <w:t xml:space="preserve">The DfE non-statutory guidance has been produced in conjunction with the National Centre for Excellence in the Teaching of Mathematics, drawing on evidence-based approaches: </w:t>
            </w:r>
          </w:p>
          <w:p w14:paraId="436A6E62" w14:textId="77777777" w:rsidR="00417A0F" w:rsidRPr="00D01A6D" w:rsidRDefault="007565BF" w:rsidP="00417A0F">
            <w:pPr>
              <w:suppressAutoHyphens w:val="0"/>
              <w:autoSpaceDN/>
              <w:spacing w:before="60" w:after="120" w:line="240" w:lineRule="auto"/>
              <w:ind w:left="57" w:right="57"/>
              <w:rPr>
                <w:rFonts w:cs="Arial"/>
                <w:iCs/>
                <w:color w:val="0070C0"/>
              </w:rPr>
            </w:pPr>
            <w:hyperlink r:id="rId13" w:history="1">
              <w:r w:rsidR="00417A0F" w:rsidRPr="00D01A6D">
                <w:rPr>
                  <w:color w:val="0070C0"/>
                  <w:u w:val="single"/>
                </w:rPr>
                <w:t>Maths_guidance_KS_1_and_2.pdf (publishing.service.gov.uk)</w:t>
              </w:r>
            </w:hyperlink>
          </w:p>
          <w:p w14:paraId="6519733A" w14:textId="77777777" w:rsidR="00417A0F" w:rsidRPr="00E27862" w:rsidRDefault="00417A0F" w:rsidP="00417A0F">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3A03C3B1" w14:textId="77777777" w:rsidR="00417A0F" w:rsidRDefault="007565BF" w:rsidP="00417A0F">
            <w:pPr>
              <w:suppressAutoHyphens w:val="0"/>
              <w:autoSpaceDN/>
              <w:spacing w:before="60" w:after="60" w:line="240" w:lineRule="auto"/>
              <w:ind w:left="57" w:right="57"/>
              <w:rPr>
                <w:rStyle w:val="Hyperlink"/>
                <w:rFonts w:cs="Arial"/>
                <w:color w:val="0070C0"/>
              </w:rPr>
            </w:pPr>
            <w:hyperlink r:id="rId14" w:history="1">
              <w:r w:rsidR="00417A0F" w:rsidRPr="000106A2">
                <w:rPr>
                  <w:rStyle w:val="Hyperlink"/>
                  <w:rFonts w:cs="Arial"/>
                  <w:color w:val="0070C0"/>
                </w:rPr>
                <w:t>Improving Mathematics in Key Stages 2 and 3</w:t>
              </w:r>
            </w:hyperlink>
          </w:p>
          <w:p w14:paraId="1F54EB3B" w14:textId="77777777" w:rsidR="007C358D" w:rsidRDefault="007C358D" w:rsidP="00417A0F">
            <w:pPr>
              <w:suppressAutoHyphens w:val="0"/>
              <w:autoSpaceDN/>
              <w:spacing w:before="60" w:after="60" w:line="240" w:lineRule="auto"/>
              <w:ind w:left="57" w:right="57"/>
              <w:rPr>
                <w:rStyle w:val="Hyperlink"/>
                <w:color w:val="0070C0"/>
              </w:rPr>
            </w:pPr>
          </w:p>
          <w:p w14:paraId="771350BA" w14:textId="41ABD483" w:rsidR="007C358D" w:rsidRPr="00E27862" w:rsidRDefault="007C358D" w:rsidP="00417A0F">
            <w:pPr>
              <w:suppressAutoHyphens w:val="0"/>
              <w:autoSpaceDN/>
              <w:spacing w:before="60" w:after="60" w:line="240" w:lineRule="auto"/>
              <w:ind w:left="57" w:right="57"/>
              <w:rPr>
                <w:rFonts w:cs="Arial"/>
                <w:color w:val="auto"/>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0CF432" w14:textId="1D699D6C" w:rsidR="00417A0F" w:rsidRPr="00E27862" w:rsidRDefault="00417A0F" w:rsidP="00417A0F">
            <w:pPr>
              <w:pStyle w:val="TableRowCentered"/>
              <w:jc w:val="left"/>
              <w:rPr>
                <w:color w:val="auto"/>
                <w:sz w:val="22"/>
                <w:szCs w:val="22"/>
              </w:rPr>
            </w:pPr>
            <w:r w:rsidRPr="00E27862">
              <w:rPr>
                <w:color w:val="auto"/>
                <w:szCs w:val="24"/>
              </w:rPr>
              <w:t>3</w:t>
            </w:r>
          </w:p>
        </w:tc>
      </w:tr>
      <w:tr w:rsidR="001724A7" w14:paraId="1C484D0D" w14:textId="77777777" w:rsidTr="001724A7">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E8E516" w14:textId="2AA1A619" w:rsidR="001724A7" w:rsidRPr="00E27862" w:rsidRDefault="001724A7" w:rsidP="001724A7">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w:t>
            </w:r>
            <w:r w:rsidR="002844A5">
              <w:rPr>
                <w:rFonts w:cs="Arial"/>
                <w:iCs/>
                <w:color w:val="auto"/>
                <w:lang w:val="en-US" w:eastAsia="en-US"/>
              </w:rPr>
              <w:t xml:space="preserve">, </w:t>
            </w:r>
            <w:r w:rsidRPr="00E27862">
              <w:rPr>
                <w:rFonts w:cs="Arial"/>
                <w:iCs/>
                <w:color w:val="auto"/>
                <w:lang w:val="en-US" w:eastAsia="en-US"/>
              </w:rPr>
              <w:t>emotional</w:t>
            </w:r>
            <w:r w:rsidR="002844A5">
              <w:rPr>
                <w:rFonts w:cs="Arial"/>
                <w:iCs/>
                <w:color w:val="auto"/>
                <w:lang w:val="en-US" w:eastAsia="en-US"/>
              </w:rPr>
              <w:t xml:space="preserve"> and mental health</w:t>
            </w:r>
            <w:r w:rsidRPr="00E27862">
              <w:rPr>
                <w:rFonts w:cs="Arial"/>
                <w:iCs/>
                <w:color w:val="auto"/>
                <w:lang w:val="en-US" w:eastAsia="en-US"/>
              </w:rPr>
              <w:t xml:space="preserve"> (SE</w:t>
            </w:r>
            <w:r w:rsidR="002844A5">
              <w:rPr>
                <w:rFonts w:cs="Arial"/>
                <w:iCs/>
                <w:color w:val="auto"/>
                <w:lang w:val="en-US" w:eastAsia="en-US"/>
              </w:rPr>
              <w:t>MH</w:t>
            </w:r>
            <w:r w:rsidRPr="00E27862">
              <w:rPr>
                <w:rFonts w:cs="Arial"/>
                <w:iCs/>
                <w:color w:val="auto"/>
                <w:lang w:val="en-US" w:eastAsia="en-US"/>
              </w:rPr>
              <w:t>) learning.</w:t>
            </w:r>
          </w:p>
          <w:p w14:paraId="78A97343" w14:textId="77777777" w:rsidR="001724A7" w:rsidRPr="00E27862" w:rsidRDefault="001724A7" w:rsidP="001724A7">
            <w:pPr>
              <w:suppressAutoHyphens w:val="0"/>
              <w:autoSpaceDN/>
              <w:spacing w:after="0" w:line="240" w:lineRule="auto"/>
              <w:rPr>
                <w:rFonts w:cs="Arial"/>
                <w:iCs/>
                <w:color w:val="auto"/>
                <w:lang w:val="en-US" w:eastAsia="en-US"/>
              </w:rPr>
            </w:pPr>
          </w:p>
          <w:p w14:paraId="532A4AE1" w14:textId="77777777" w:rsidR="002844A5" w:rsidRDefault="001724A7" w:rsidP="001724A7">
            <w:pPr>
              <w:suppressAutoHyphens w:val="0"/>
              <w:autoSpaceDN/>
              <w:spacing w:before="60" w:line="240" w:lineRule="auto"/>
              <w:ind w:left="29" w:right="57"/>
              <w:rPr>
                <w:rFonts w:cs="Arial"/>
                <w:iCs/>
                <w:color w:val="auto"/>
                <w:lang w:val="en-US" w:eastAsia="en-US"/>
              </w:rPr>
            </w:pPr>
            <w:r w:rsidRPr="00E27862">
              <w:rPr>
                <w:rFonts w:cs="Arial"/>
                <w:iCs/>
                <w:color w:val="auto"/>
                <w:lang w:val="en-US" w:eastAsia="en-US"/>
              </w:rPr>
              <w:t>SE</w:t>
            </w:r>
            <w:r w:rsidR="002844A5">
              <w:rPr>
                <w:rFonts w:cs="Arial"/>
                <w:iCs/>
                <w:color w:val="auto"/>
                <w:lang w:val="en-US" w:eastAsia="en-US"/>
              </w:rPr>
              <w:t>MH</w:t>
            </w:r>
            <w:r w:rsidRPr="00E27862">
              <w:rPr>
                <w:rFonts w:cs="Arial"/>
                <w:iCs/>
                <w:color w:val="auto"/>
                <w:lang w:val="en-US" w:eastAsia="en-US"/>
              </w:rPr>
              <w:t xml:space="preserve"> approaches will be embedded into routine educational practices and supported by professional development and training for staff.</w:t>
            </w:r>
            <w:r w:rsidR="002844A5">
              <w:rPr>
                <w:rFonts w:cs="Arial"/>
                <w:iCs/>
                <w:color w:val="auto"/>
                <w:lang w:val="en-US" w:eastAsia="en-US"/>
              </w:rPr>
              <w:t xml:space="preserve"> </w:t>
            </w:r>
          </w:p>
          <w:p w14:paraId="6062252D" w14:textId="16343D0D" w:rsidR="00765C92" w:rsidRPr="00E27862" w:rsidRDefault="002844A5" w:rsidP="00C707FE">
            <w:pPr>
              <w:suppressAutoHyphens w:val="0"/>
              <w:autoSpaceDN/>
              <w:spacing w:before="60" w:line="240" w:lineRule="auto"/>
              <w:ind w:left="29" w:right="57"/>
              <w:rPr>
                <w:iCs/>
                <w:color w:val="auto"/>
                <w:lang w:val="en-US"/>
              </w:rPr>
            </w:pPr>
            <w:r>
              <w:rPr>
                <w:rFonts w:cs="Arial"/>
                <w:iCs/>
                <w:color w:val="auto"/>
                <w:lang w:val="en-US" w:eastAsia="en-US"/>
              </w:rPr>
              <w:t xml:space="preserve">This will include </w:t>
            </w:r>
            <w:r w:rsidR="00C707FE">
              <w:rPr>
                <w:rFonts w:cs="Arial"/>
                <w:iCs/>
                <w:color w:val="auto"/>
                <w:lang w:val="en-US" w:eastAsia="en-US"/>
              </w:rPr>
              <w:t xml:space="preserve">allocated time </w:t>
            </w:r>
            <w:proofErr w:type="gramStart"/>
            <w:r w:rsidR="00C707FE">
              <w:rPr>
                <w:rFonts w:cs="Arial"/>
                <w:iCs/>
                <w:color w:val="auto"/>
                <w:lang w:val="en-US" w:eastAsia="en-US"/>
              </w:rPr>
              <w:t xml:space="preserve">for </w:t>
            </w:r>
            <w:r w:rsidR="00765C92">
              <w:rPr>
                <w:rFonts w:cs="Arial"/>
                <w:iCs/>
                <w:color w:val="auto"/>
                <w:lang w:val="en-US" w:eastAsia="en-US"/>
              </w:rPr>
              <w:t xml:space="preserve"> </w:t>
            </w:r>
            <w:r>
              <w:rPr>
                <w:rFonts w:cs="Arial"/>
                <w:iCs/>
                <w:color w:val="auto"/>
                <w:lang w:val="en-US" w:eastAsia="en-US"/>
              </w:rPr>
              <w:t>designated</w:t>
            </w:r>
            <w:proofErr w:type="gramEnd"/>
            <w:r>
              <w:rPr>
                <w:rFonts w:cs="Arial"/>
                <w:iCs/>
                <w:color w:val="auto"/>
                <w:lang w:val="en-US" w:eastAsia="en-US"/>
              </w:rPr>
              <w:t xml:space="preserve"> Senior </w:t>
            </w:r>
            <w:r>
              <w:rPr>
                <w:rFonts w:cs="Arial"/>
                <w:iCs/>
                <w:color w:val="auto"/>
                <w:lang w:val="en-US" w:eastAsia="en-US"/>
              </w:rPr>
              <w:lastRenderedPageBreak/>
              <w:t>Mental Health Lead</w:t>
            </w:r>
            <w:r w:rsidR="00765C92">
              <w:rPr>
                <w:rFonts w:cs="Arial"/>
                <w:iCs/>
                <w:color w:val="auto"/>
                <w:lang w:val="en-US" w:eastAsia="en-US"/>
              </w:rPr>
              <w:t xml:space="preserve"> (Sandra Sutherland) </w:t>
            </w:r>
            <w:r w:rsidR="00C707FE">
              <w:rPr>
                <w:rFonts w:cs="Arial"/>
                <w:iCs/>
                <w:color w:val="auto"/>
                <w:lang w:val="en-US" w:eastAsia="en-US"/>
              </w:rPr>
              <w:t xml:space="preserve">to carry out role as Mental Health First-aider &amp; attend </w:t>
            </w:r>
            <w:r w:rsidR="00765C92">
              <w:rPr>
                <w:rFonts w:cs="Arial"/>
                <w:iCs/>
                <w:color w:val="auto"/>
                <w:lang w:val="en-US" w:eastAsia="en-US"/>
              </w:rPr>
              <w:t>Educational Psychology service facilitated Mental Health Network and associated training &amp; conference</w:t>
            </w:r>
            <w:r w:rsidR="00C707FE">
              <w:rPr>
                <w:rFonts w:cs="Arial"/>
                <w:iCs/>
                <w:color w:val="auto"/>
                <w:lang w:val="en-US" w:eastAsia="en-US"/>
              </w:rPr>
              <w:t>s</w:t>
            </w:r>
            <w:r w:rsidR="00765C92">
              <w:rPr>
                <w:rFonts w:cs="Arial"/>
                <w:iCs/>
                <w:color w:val="auto"/>
                <w:lang w:val="en-US" w:eastAsia="en-US"/>
              </w:rPr>
              <w:t xml:space="preserve">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33648F" w14:textId="77777777" w:rsidR="001724A7" w:rsidRPr="00E27862" w:rsidRDefault="001724A7" w:rsidP="001724A7">
            <w:pPr>
              <w:pStyle w:val="TableRowCentered"/>
              <w:jc w:val="left"/>
              <w:rPr>
                <w:rFonts w:cs="Arial"/>
                <w:color w:val="auto"/>
                <w:szCs w:val="24"/>
              </w:rPr>
            </w:pPr>
            <w:r w:rsidRPr="00E27862">
              <w:rPr>
                <w:rFonts w:cs="Arial"/>
                <w:color w:val="auto"/>
                <w:szCs w:val="24"/>
              </w:rPr>
              <w:lastRenderedPageBreak/>
              <w:t>There is extensive evidence associating childhood social and emotional skills with improved outcomes at school and in later life (e.g., improved academic performance, attitudes, behaviour and relationships with peers):</w:t>
            </w:r>
          </w:p>
          <w:p w14:paraId="30392BCE" w14:textId="65A56FA7" w:rsidR="001724A7" w:rsidRPr="00E27862" w:rsidRDefault="007565BF" w:rsidP="001724A7">
            <w:pPr>
              <w:suppressAutoHyphens w:val="0"/>
              <w:autoSpaceDN/>
              <w:spacing w:before="60" w:after="60" w:line="240" w:lineRule="auto"/>
              <w:ind w:left="57" w:right="57"/>
              <w:rPr>
                <w:rFonts w:cs="Arial"/>
                <w:color w:val="auto"/>
              </w:rPr>
            </w:pPr>
            <w:hyperlink r:id="rId15" w:history="1">
              <w:r w:rsidR="001724A7" w:rsidRPr="000106A2">
                <w:rPr>
                  <w:color w:val="0070C0"/>
                  <w:u w:val="single"/>
                </w:rPr>
                <w:t>EEF_Social_and_Emotional_Learning.pdf(educationendowmentfoundation.org.uk)</w:t>
              </w:r>
            </w:hyperlink>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524C5D" w14:textId="16B9523C" w:rsidR="001724A7" w:rsidRPr="00E27862" w:rsidRDefault="001724A7" w:rsidP="001724A7">
            <w:pPr>
              <w:pStyle w:val="TableRowCentered"/>
              <w:jc w:val="left"/>
              <w:rPr>
                <w:color w:val="auto"/>
                <w:sz w:val="22"/>
                <w:szCs w:val="22"/>
              </w:rPr>
            </w:pPr>
            <w:r>
              <w:rPr>
                <w:color w:val="auto"/>
                <w:sz w:val="22"/>
                <w:szCs w:val="22"/>
              </w:rPr>
              <w:t>5</w:t>
            </w:r>
          </w:p>
        </w:tc>
      </w:tr>
    </w:tbl>
    <w:p w14:paraId="2A7D5522" w14:textId="77777777" w:rsidR="00E66558" w:rsidRDefault="00E66558">
      <w:pPr>
        <w:keepNext/>
        <w:spacing w:after="60"/>
        <w:outlineLvl w:val="1"/>
      </w:pPr>
    </w:p>
    <w:p w14:paraId="2A7D5523" w14:textId="5E1878E7"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0B12843" w:rsidR="00E66558" w:rsidRDefault="009D71E8">
      <w:r>
        <w:t xml:space="preserve">Budgeted cost: </w:t>
      </w:r>
      <w:r w:rsidRPr="00CF7A76">
        <w:t>£</w:t>
      </w:r>
      <w:r w:rsidR="00784440" w:rsidRPr="00CF7A76">
        <w:t>3</w:t>
      </w:r>
      <w:r w:rsidR="00A202B4">
        <w:t>7</w:t>
      </w:r>
      <w:r w:rsidR="00784440" w:rsidRPr="00CF7A76">
        <w:t>,</w:t>
      </w:r>
      <w:r w:rsidR="008675AE">
        <w:t>7</w:t>
      </w:r>
      <w:r w:rsidR="00A202B4">
        <w:t>25</w:t>
      </w:r>
    </w:p>
    <w:tbl>
      <w:tblPr>
        <w:tblW w:w="5000" w:type="pct"/>
        <w:tblCellMar>
          <w:left w:w="10" w:type="dxa"/>
          <w:right w:w="10" w:type="dxa"/>
        </w:tblCellMar>
        <w:tblLook w:val="04A0" w:firstRow="1" w:lastRow="0" w:firstColumn="1" w:lastColumn="0" w:noHBand="0" w:noVBand="1"/>
      </w:tblPr>
      <w:tblGrid>
        <w:gridCol w:w="2532"/>
        <w:gridCol w:w="4627"/>
        <w:gridCol w:w="2327"/>
      </w:tblGrid>
      <w:tr w:rsidR="00E66558" w14:paraId="2A7D5528" w14:textId="77777777" w:rsidTr="006F5C0F">
        <w:tc>
          <w:tcPr>
            <w:tcW w:w="25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bookmarkStart w:id="17" w:name="_Hlk88752114"/>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844A5" w14:paraId="2A7D552C" w14:textId="77777777" w:rsidTr="006F5C0F">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EB76B62" w:rsidR="002844A5" w:rsidRDefault="00765C92" w:rsidP="002844A5">
            <w:pPr>
              <w:pStyle w:val="TableRow"/>
            </w:pPr>
            <w:r>
              <w:rPr>
                <w:rFonts w:cs="Arial"/>
                <w:iCs/>
                <w:color w:val="auto"/>
                <w:lang w:val="en-US"/>
              </w:rPr>
              <w:t>Implementation</w:t>
            </w:r>
            <w:r w:rsidR="002844A5" w:rsidRPr="00E27862">
              <w:rPr>
                <w:rFonts w:cs="Arial"/>
                <w:iCs/>
                <w:color w:val="auto"/>
                <w:lang w:val="en-US"/>
              </w:rPr>
              <w:t xml:space="preserve"> of a </w:t>
            </w:r>
            <w:proofErr w:type="spellStart"/>
            <w:r w:rsidR="002844A5" w:rsidRPr="00E27862">
              <w:rPr>
                <w:rFonts w:cs="Arial"/>
                <w:iCs/>
                <w:color w:val="auto"/>
                <w:lang w:val="en-US"/>
              </w:rPr>
              <w:t>programme</w:t>
            </w:r>
            <w:proofErr w:type="spellEnd"/>
            <w:r w:rsidR="002844A5" w:rsidRPr="00E27862">
              <w:rPr>
                <w:rFonts w:cs="Arial"/>
                <w:iCs/>
                <w:color w:val="auto"/>
                <w:lang w:val="en-US"/>
              </w:rPr>
              <w:t xml:space="preserve"> to improve listening, narrative and vocabulary skills for disadvantaged pupils who have relatively low spoken language skills.</w:t>
            </w:r>
            <w:r>
              <w:rPr>
                <w:rFonts w:cs="Arial"/>
                <w:iCs/>
                <w:color w:val="auto"/>
                <w:lang w:val="en-US"/>
              </w:rPr>
              <w:t xml:space="preserve"> Cost of TA delivery time.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7EEB2" w14:textId="77777777" w:rsidR="002844A5" w:rsidRPr="00E27862" w:rsidRDefault="002844A5" w:rsidP="002844A5">
            <w:pPr>
              <w:pStyle w:val="TableRowCentered"/>
              <w:jc w:val="left"/>
              <w:rPr>
                <w:rFonts w:cs="Arial"/>
                <w:color w:val="auto"/>
                <w:szCs w:val="24"/>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p w14:paraId="760D05A4" w14:textId="77777777" w:rsidR="002844A5" w:rsidRPr="000106A2" w:rsidRDefault="007565BF" w:rsidP="002844A5">
            <w:pPr>
              <w:pStyle w:val="TableRowCentered"/>
              <w:spacing w:after="120"/>
              <w:jc w:val="left"/>
              <w:rPr>
                <w:color w:val="0070C0"/>
                <w:szCs w:val="24"/>
              </w:rPr>
            </w:pPr>
            <w:hyperlink r:id="rId16" w:history="1">
              <w:r w:rsidR="002844A5" w:rsidRPr="000106A2">
                <w:rPr>
                  <w:color w:val="0070C0"/>
                  <w:szCs w:val="24"/>
                  <w:u w:val="single"/>
                </w:rPr>
                <w:t>Oral language interventions | EEF (educationendowmentfoundation.org.uk)</w:t>
              </w:r>
            </w:hyperlink>
          </w:p>
          <w:p w14:paraId="2A7D552A" w14:textId="77777777" w:rsidR="002844A5" w:rsidRDefault="002844A5" w:rsidP="002844A5">
            <w:pPr>
              <w:pStyle w:val="TableRowCentered"/>
              <w:jc w:val="left"/>
              <w:rPr>
                <w:sz w:val="22"/>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C44D7B6" w:rsidR="002844A5" w:rsidRDefault="00C707FE" w:rsidP="002844A5">
            <w:pPr>
              <w:pStyle w:val="TableRowCentered"/>
              <w:jc w:val="left"/>
              <w:rPr>
                <w:sz w:val="22"/>
              </w:rPr>
            </w:pPr>
            <w:r>
              <w:rPr>
                <w:color w:val="auto"/>
                <w:szCs w:val="22"/>
              </w:rPr>
              <w:t>1, 3, 5</w:t>
            </w:r>
          </w:p>
        </w:tc>
      </w:tr>
      <w:tr w:rsidR="002844A5" w14:paraId="2A7D5530" w14:textId="77777777" w:rsidTr="006F5C0F">
        <w:tc>
          <w:tcPr>
            <w:tcW w:w="2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224E" w14:textId="77777777" w:rsidR="002844A5" w:rsidRDefault="002844A5" w:rsidP="002844A5">
            <w:pPr>
              <w:pStyle w:val="TableRow"/>
              <w:rPr>
                <w:rFonts w:cs="Arial"/>
                <w:iCs/>
                <w:color w:val="auto"/>
                <w:lang w:val="en-US"/>
              </w:rPr>
            </w:pPr>
            <w:r w:rsidRPr="00E27862">
              <w:rPr>
                <w:rFonts w:cs="Arial"/>
                <w:iCs/>
                <w:color w:val="auto"/>
                <w:lang w:val="en-US"/>
              </w:rPr>
              <w:t xml:space="preserve">Additional phonics sessions targeted at disadvantaged pupils who require further phonics support. </w:t>
            </w:r>
          </w:p>
          <w:p w14:paraId="2A7D552D" w14:textId="34179B06" w:rsidR="002844A5" w:rsidRPr="002844A5" w:rsidRDefault="002844A5" w:rsidP="002844A5">
            <w:pPr>
              <w:pStyle w:val="TableRow"/>
            </w:pPr>
            <w:r w:rsidRPr="002844A5">
              <w:t xml:space="preserve">RWI 1:1 phonic tuition will be used to link phonics knowledge, applying to reading and linking to written outcomes.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2AF0" w14:textId="77777777" w:rsidR="002844A5" w:rsidRPr="00E27862" w:rsidRDefault="002844A5" w:rsidP="002844A5">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1EAC57A7" w14:textId="77777777" w:rsidR="002844A5" w:rsidRDefault="007565BF" w:rsidP="002844A5">
            <w:pPr>
              <w:pStyle w:val="TableRowCentered"/>
              <w:jc w:val="left"/>
              <w:rPr>
                <w:color w:val="0070C0"/>
                <w:szCs w:val="24"/>
                <w:u w:val="single"/>
              </w:rPr>
            </w:pPr>
            <w:hyperlink r:id="rId17" w:history="1">
              <w:r w:rsidR="002844A5" w:rsidRPr="00094874">
                <w:rPr>
                  <w:color w:val="0070C0"/>
                  <w:szCs w:val="24"/>
                  <w:u w:val="single"/>
                </w:rPr>
                <w:t>Phonics | Toolkit Strand | Education Endowment Foundation | EEF</w:t>
              </w:r>
            </w:hyperlink>
          </w:p>
          <w:p w14:paraId="4F6C35E4" w14:textId="77777777" w:rsidR="00784440" w:rsidRDefault="00784440" w:rsidP="002844A5">
            <w:pPr>
              <w:pStyle w:val="TableRowCentered"/>
              <w:jc w:val="left"/>
              <w:rPr>
                <w:sz w:val="22"/>
              </w:rPr>
            </w:pPr>
          </w:p>
          <w:p w14:paraId="2A7D552E" w14:textId="48EE1B67" w:rsidR="00784440" w:rsidRDefault="00784440" w:rsidP="002844A5">
            <w:pPr>
              <w:pStyle w:val="TableRowCentered"/>
              <w:jc w:val="left"/>
              <w:rPr>
                <w:sz w:val="22"/>
              </w:rPr>
            </w:pPr>
            <w:r>
              <w:rPr>
                <w:sz w:val="22"/>
              </w:rPr>
              <w:t xml:space="preserve">Staffing costs for these sessions </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40DA27B" w:rsidR="002844A5" w:rsidRDefault="002844A5" w:rsidP="002844A5">
            <w:pPr>
              <w:pStyle w:val="TableRowCentered"/>
              <w:jc w:val="left"/>
              <w:rPr>
                <w:sz w:val="22"/>
              </w:rPr>
            </w:pPr>
            <w:r w:rsidRPr="00295351">
              <w:rPr>
                <w:color w:val="auto"/>
                <w:szCs w:val="22"/>
              </w:rPr>
              <w:t>2</w:t>
            </w:r>
            <w:r w:rsidR="00C707FE">
              <w:rPr>
                <w:color w:val="auto"/>
                <w:szCs w:val="22"/>
              </w:rPr>
              <w:t>, 3</w:t>
            </w:r>
          </w:p>
        </w:tc>
      </w:tr>
      <w:bookmarkEnd w:id="17"/>
    </w:tbl>
    <w:p w14:paraId="2A7D5531" w14:textId="77777777" w:rsidR="00E66558" w:rsidRDefault="00E66558">
      <w:pPr>
        <w:spacing w:after="0"/>
        <w:rPr>
          <w:b/>
          <w:color w:val="104F75"/>
          <w:sz w:val="28"/>
          <w:szCs w:val="28"/>
        </w:rPr>
      </w:pPr>
    </w:p>
    <w:p w14:paraId="2176DE77" w14:textId="77777777" w:rsidR="008E5517" w:rsidRDefault="008E5517">
      <w:pPr>
        <w:rPr>
          <w:b/>
          <w:color w:val="104F75"/>
          <w:sz w:val="28"/>
          <w:szCs w:val="28"/>
        </w:rPr>
      </w:pPr>
    </w:p>
    <w:p w14:paraId="2A7D5532" w14:textId="0266166C"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1992F48E" w:rsidR="00E66558" w:rsidRDefault="009D71E8">
      <w:pPr>
        <w:spacing w:before="240" w:after="120"/>
        <w:rPr>
          <w:i/>
          <w:iCs/>
        </w:rPr>
      </w:pPr>
      <w:r>
        <w:t>Budgeted cost: £</w:t>
      </w:r>
      <w:r w:rsidR="00B4272C">
        <w:t>2</w:t>
      </w:r>
      <w:r w:rsidR="001B3877">
        <w:t>9,500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8547C8" w14:paraId="6A485E26"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E0FBD3" w14:textId="77777777" w:rsidR="008547C8" w:rsidRDefault="008547C8" w:rsidP="00254630">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29B2F4" w14:textId="77777777" w:rsidR="008547C8" w:rsidRDefault="008547C8" w:rsidP="00254630">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C32AA8" w14:textId="77777777" w:rsidR="008547C8" w:rsidRDefault="008547C8" w:rsidP="00254630">
            <w:pPr>
              <w:pStyle w:val="TableHeader"/>
              <w:jc w:val="left"/>
            </w:pPr>
            <w:r>
              <w:t>Challenge number(s) addressed</w:t>
            </w:r>
          </w:p>
        </w:tc>
      </w:tr>
      <w:tr w:rsidR="008547C8" w14:paraId="6B8BD939"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0DF7" w14:textId="32B7B684" w:rsidR="003F5989" w:rsidRDefault="008547C8" w:rsidP="00254630">
            <w:pPr>
              <w:pStyle w:val="TableRow"/>
              <w:spacing w:after="120"/>
              <w:ind w:left="29"/>
              <w:rPr>
                <w:iCs/>
                <w:color w:val="auto"/>
                <w:szCs w:val="28"/>
                <w:lang w:val="en-US"/>
              </w:rPr>
            </w:pPr>
            <w:r>
              <w:rPr>
                <w:iCs/>
                <w:color w:val="auto"/>
                <w:szCs w:val="28"/>
                <w:lang w:val="en-US"/>
              </w:rPr>
              <w:t xml:space="preserve">Sustaining the role of </w:t>
            </w:r>
            <w:r w:rsidR="003F5989">
              <w:rPr>
                <w:iCs/>
                <w:color w:val="auto"/>
                <w:szCs w:val="28"/>
                <w:lang w:val="en-US"/>
              </w:rPr>
              <w:t xml:space="preserve">Senior Mental Health Lead (as before), </w:t>
            </w:r>
            <w:proofErr w:type="spellStart"/>
            <w:r w:rsidR="003F5989">
              <w:rPr>
                <w:iCs/>
                <w:color w:val="auto"/>
                <w:szCs w:val="28"/>
                <w:lang w:val="en-US"/>
              </w:rPr>
              <w:t>co-ordinating</w:t>
            </w:r>
            <w:proofErr w:type="spellEnd"/>
            <w:r w:rsidR="003F5989">
              <w:rPr>
                <w:iCs/>
                <w:color w:val="auto"/>
                <w:szCs w:val="28"/>
                <w:lang w:val="en-US"/>
              </w:rPr>
              <w:t xml:space="preserve"> SEMH and other well-being measures. </w:t>
            </w:r>
          </w:p>
          <w:p w14:paraId="29D4952F" w14:textId="77777777" w:rsidR="003F5989" w:rsidRDefault="003F5989" w:rsidP="00254630">
            <w:pPr>
              <w:pStyle w:val="TableRow"/>
              <w:spacing w:after="120"/>
              <w:ind w:left="29"/>
              <w:rPr>
                <w:iCs/>
                <w:color w:val="auto"/>
                <w:szCs w:val="28"/>
                <w:lang w:val="en-US"/>
              </w:rPr>
            </w:pPr>
          </w:p>
          <w:p w14:paraId="61D47B44" w14:textId="2D4C3096" w:rsidR="008547C8" w:rsidRDefault="003F5989" w:rsidP="00254630">
            <w:pPr>
              <w:pStyle w:val="TableRow"/>
              <w:spacing w:after="120"/>
              <w:ind w:left="29"/>
              <w:rPr>
                <w:iCs/>
                <w:color w:val="auto"/>
                <w:szCs w:val="28"/>
                <w:lang w:val="en-US"/>
              </w:rPr>
            </w:pPr>
            <w:r>
              <w:rPr>
                <w:iCs/>
                <w:color w:val="auto"/>
                <w:szCs w:val="28"/>
                <w:lang w:val="en-US"/>
              </w:rPr>
              <w:t xml:space="preserve">Train TAs to support with delivery of mental health provision. </w:t>
            </w:r>
            <w:r w:rsidR="00C707FE">
              <w:rPr>
                <w:iCs/>
                <w:color w:val="auto"/>
                <w:szCs w:val="28"/>
                <w:lang w:val="en-US"/>
              </w:rPr>
              <w:t xml:space="preserve">Cost of release time to attend </w:t>
            </w:r>
            <w:r>
              <w:rPr>
                <w:iCs/>
                <w:color w:val="auto"/>
                <w:szCs w:val="28"/>
                <w:lang w:val="en-US"/>
              </w:rPr>
              <w:t>Mental Health First aid briefing</w:t>
            </w:r>
            <w:r w:rsidR="00C707FE">
              <w:rPr>
                <w:iCs/>
                <w:color w:val="auto"/>
                <w:szCs w:val="28"/>
                <w:lang w:val="en-US"/>
              </w:rPr>
              <w:t>s</w:t>
            </w:r>
            <w:r>
              <w:rPr>
                <w:iCs/>
                <w:color w:val="auto"/>
                <w:szCs w:val="28"/>
                <w:lang w:val="en-US"/>
              </w:rPr>
              <w:t xml:space="preserve">.  </w:t>
            </w:r>
          </w:p>
          <w:p w14:paraId="55712F32" w14:textId="77777777" w:rsidR="00F465CE" w:rsidRDefault="00F465CE" w:rsidP="00254630">
            <w:pPr>
              <w:pStyle w:val="TableRow"/>
              <w:spacing w:after="120"/>
              <w:ind w:left="29"/>
              <w:rPr>
                <w:iCs/>
                <w:color w:val="auto"/>
                <w:szCs w:val="28"/>
                <w:lang w:val="en-US"/>
              </w:rPr>
            </w:pPr>
          </w:p>
          <w:p w14:paraId="5C8055AD" w14:textId="2F89D305" w:rsidR="00F465CE" w:rsidRPr="00E27862" w:rsidRDefault="00F465CE" w:rsidP="003F5989">
            <w:pPr>
              <w:suppressAutoHyphens w:val="0"/>
              <w:autoSpaceDN/>
              <w:spacing w:before="60" w:after="6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725A" w14:textId="77777777" w:rsidR="008547C8" w:rsidRPr="00477B86" w:rsidRDefault="008547C8" w:rsidP="008547C8">
            <w:pPr>
              <w:pStyle w:val="TableRowCentered"/>
              <w:jc w:val="left"/>
              <w:rPr>
                <w:color w:val="auto"/>
              </w:rPr>
            </w:pPr>
            <w:r w:rsidRPr="00477B86">
              <w:rPr>
                <w:color w:val="auto"/>
              </w:rPr>
              <w:t>Social and emotional learning (SEL) interventions seek to improve pupils’ decision-making skills, interaction with others and their self-management of emotions, rather than focusing directly on the academic or cognitive elements of learning.</w:t>
            </w:r>
          </w:p>
          <w:p w14:paraId="6548B3DF" w14:textId="77777777" w:rsidR="008547C8" w:rsidRDefault="008547C8" w:rsidP="008547C8">
            <w:pPr>
              <w:pStyle w:val="TableRowCentered"/>
              <w:jc w:val="left"/>
              <w:rPr>
                <w:color w:val="auto"/>
              </w:rPr>
            </w:pPr>
            <w:r w:rsidRPr="00477B86">
              <w:rPr>
                <w:color w:val="auto"/>
              </w:rPr>
              <w:t>SEL interventions might focus on the ways in which students work with (and alongside) their peers, teachers, family or community.</w:t>
            </w:r>
          </w:p>
          <w:p w14:paraId="4263B33A" w14:textId="31294F4C" w:rsidR="008547C8" w:rsidRPr="00E27862" w:rsidRDefault="007565BF" w:rsidP="008547C8">
            <w:pPr>
              <w:pStyle w:val="TableRowCentered"/>
              <w:ind w:left="32"/>
              <w:jc w:val="left"/>
              <w:rPr>
                <w:color w:val="auto"/>
              </w:rPr>
            </w:pPr>
            <w:hyperlink r:id="rId18" w:history="1">
              <w:r w:rsidR="008547C8" w:rsidRPr="00C831AF">
                <w:rPr>
                  <w:rStyle w:val="Hyperlink"/>
                </w:rPr>
                <w:t>https://educationendowmentfoundation.org.uk/education-evidence/teaching-learning-toolkit/social-and-emotional-learning</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88B2" w14:textId="00A22ABA" w:rsidR="008547C8" w:rsidRPr="00E27862" w:rsidRDefault="00F465CE" w:rsidP="00254630">
            <w:pPr>
              <w:pStyle w:val="TableRowCentered"/>
              <w:jc w:val="left"/>
              <w:rPr>
                <w:color w:val="auto"/>
                <w:sz w:val="22"/>
              </w:rPr>
            </w:pPr>
            <w:r>
              <w:rPr>
                <w:color w:val="auto"/>
                <w:sz w:val="22"/>
              </w:rPr>
              <w:t>5</w:t>
            </w:r>
          </w:p>
        </w:tc>
      </w:tr>
      <w:tr w:rsidR="008547C8" w14:paraId="2FBC221C"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0A9" w14:textId="77777777" w:rsidR="008547C8" w:rsidRDefault="008547C8" w:rsidP="00254630">
            <w:pPr>
              <w:pStyle w:val="TableRow"/>
              <w:spacing w:after="120"/>
              <w:ind w:left="29"/>
              <w:rPr>
                <w:iCs/>
                <w:color w:val="auto"/>
                <w:szCs w:val="28"/>
                <w:lang w:val="en-US"/>
              </w:rPr>
            </w:pPr>
            <w:r>
              <w:rPr>
                <w:iCs/>
                <w:color w:val="auto"/>
                <w:szCs w:val="28"/>
                <w:lang w:val="en-US"/>
              </w:rPr>
              <w:t>Employing school counsellor to support SEL</w:t>
            </w:r>
          </w:p>
          <w:p w14:paraId="776E8A51" w14:textId="57FA0ED1" w:rsidR="003F5989" w:rsidRPr="00E27862" w:rsidRDefault="003F5989" w:rsidP="003F5989">
            <w:pPr>
              <w:suppressAutoHyphens w:val="0"/>
              <w:autoSpaceDN/>
              <w:spacing w:before="60" w:line="240" w:lineRule="auto"/>
              <w:ind w:left="29" w:right="57"/>
              <w:rPr>
                <w:iCs/>
                <w:color w:val="auto"/>
                <w:szCs w:val="28"/>
                <w:lang w:val="en-US"/>
              </w:rPr>
            </w:pPr>
            <w:r>
              <w:rPr>
                <w:iCs/>
                <w:color w:val="auto"/>
                <w:lang w:val="en-US"/>
              </w:rPr>
              <w:t xml:space="preserve">Funding of a Family Link Worker –between school and church – who provides SEMH support, including delivery of Drawing and Talking therapy.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D3E35" w14:textId="2955C303" w:rsidR="008547C8" w:rsidRPr="00E27862" w:rsidRDefault="007565BF" w:rsidP="00254630">
            <w:pPr>
              <w:pStyle w:val="TableRowCentered"/>
              <w:ind w:left="32"/>
              <w:jc w:val="left"/>
              <w:rPr>
                <w:color w:val="auto"/>
              </w:rPr>
            </w:pPr>
            <w:hyperlink r:id="rId19" w:history="1">
              <w:r w:rsidR="008547C8" w:rsidRPr="00C831AF">
                <w:rPr>
                  <w:rStyle w:val="Hyperlink"/>
                </w:rPr>
                <w:t>https://educationendowmentfoundation.org.uk/education-evidence/teaching-learning-toolkit/social-and-emotional-learning</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6FF8" w14:textId="1212D27A" w:rsidR="008547C8" w:rsidRPr="00E27862" w:rsidRDefault="00F465CE" w:rsidP="00254630">
            <w:pPr>
              <w:pStyle w:val="TableRowCentered"/>
              <w:jc w:val="left"/>
              <w:rPr>
                <w:color w:val="auto"/>
                <w:sz w:val="22"/>
              </w:rPr>
            </w:pPr>
            <w:r>
              <w:rPr>
                <w:color w:val="auto"/>
                <w:sz w:val="22"/>
              </w:rPr>
              <w:t>5</w:t>
            </w:r>
          </w:p>
        </w:tc>
      </w:tr>
      <w:tr w:rsidR="008547C8" w14:paraId="77976533"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E5B30" w14:textId="7A4A958D" w:rsidR="003F5989" w:rsidRDefault="003F5989" w:rsidP="003F5989">
            <w:pPr>
              <w:pStyle w:val="TableRow"/>
              <w:spacing w:after="0"/>
              <w:ind w:left="29"/>
              <w:rPr>
                <w:iCs/>
                <w:color w:val="auto"/>
                <w:szCs w:val="28"/>
                <w:lang w:val="en-US"/>
              </w:rPr>
            </w:pPr>
            <w:r>
              <w:rPr>
                <w:iCs/>
                <w:color w:val="auto"/>
                <w:szCs w:val="28"/>
                <w:lang w:val="en-US"/>
              </w:rPr>
              <w:t xml:space="preserve">The use of </w:t>
            </w:r>
            <w:r w:rsidR="008547C8">
              <w:rPr>
                <w:iCs/>
                <w:color w:val="auto"/>
                <w:szCs w:val="28"/>
                <w:lang w:val="en-US"/>
              </w:rPr>
              <w:t xml:space="preserve">Zones of Regulation </w:t>
            </w:r>
          </w:p>
          <w:p w14:paraId="711FDB9A" w14:textId="564B229E" w:rsidR="008547C8" w:rsidRPr="00E27862" w:rsidRDefault="003F5989" w:rsidP="003F5989">
            <w:pPr>
              <w:pStyle w:val="TableRow"/>
              <w:spacing w:after="0"/>
              <w:ind w:left="29"/>
              <w:rPr>
                <w:iCs/>
                <w:color w:val="auto"/>
                <w:szCs w:val="28"/>
                <w:lang w:val="en-US"/>
              </w:rPr>
            </w:pPr>
            <w:r>
              <w:rPr>
                <w:iCs/>
                <w:color w:val="auto"/>
                <w:szCs w:val="28"/>
                <w:lang w:val="en-US"/>
              </w:rPr>
              <w:t>has been implemented across school and the success of this needs to be sustained. The ongoing</w:t>
            </w:r>
            <w:r w:rsidR="008547C8" w:rsidRPr="00E27862">
              <w:rPr>
                <w:iCs/>
                <w:color w:val="auto"/>
                <w:szCs w:val="28"/>
                <w:lang w:val="en-US"/>
              </w:rPr>
              <w:t xml:space="preserve"> aim </w:t>
            </w:r>
            <w:r>
              <w:rPr>
                <w:iCs/>
                <w:color w:val="auto"/>
                <w:szCs w:val="28"/>
                <w:lang w:val="en-US"/>
              </w:rPr>
              <w:t>is to further</w:t>
            </w:r>
            <w:r w:rsidR="008547C8" w:rsidRPr="00E27862">
              <w:rPr>
                <w:iCs/>
                <w:color w:val="auto"/>
                <w:szCs w:val="28"/>
                <w:lang w:val="en-US"/>
              </w:rPr>
              <w:t xml:space="preserve"> develop our school ethos and improv</w:t>
            </w:r>
            <w:r>
              <w:rPr>
                <w:iCs/>
                <w:color w:val="auto"/>
                <w:szCs w:val="28"/>
                <w:lang w:val="en-US"/>
              </w:rPr>
              <w:t>e</w:t>
            </w:r>
            <w:r w:rsidR="008547C8" w:rsidRPr="00E27862">
              <w:rPr>
                <w:iCs/>
                <w:color w:val="auto"/>
                <w:szCs w:val="28"/>
                <w:lang w:val="en-US"/>
              </w:rPr>
              <w:t xml:space="preserve"> </w:t>
            </w:r>
            <w:proofErr w:type="spellStart"/>
            <w:r w:rsidR="008547C8" w:rsidRPr="00E27862">
              <w:rPr>
                <w:iCs/>
                <w:color w:val="auto"/>
                <w:szCs w:val="28"/>
                <w:lang w:val="en-US"/>
              </w:rPr>
              <w:t>behaviour</w:t>
            </w:r>
            <w:proofErr w:type="spellEnd"/>
            <w:r w:rsidR="008547C8" w:rsidRPr="00E27862">
              <w:rPr>
                <w:iCs/>
                <w:color w:val="auto"/>
                <w:szCs w:val="28"/>
                <w:lang w:val="en-US"/>
              </w:rPr>
              <w:t xml:space="preserve"> across school.</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A173" w14:textId="77777777" w:rsidR="008547C8" w:rsidRPr="00E27862" w:rsidRDefault="008547C8" w:rsidP="008547C8">
            <w:pPr>
              <w:pStyle w:val="TableRowCentered"/>
              <w:ind w:left="32"/>
              <w:jc w:val="left"/>
              <w:rPr>
                <w:color w:val="auto"/>
              </w:rPr>
            </w:pPr>
            <w:r w:rsidRPr="00E27862">
              <w:rPr>
                <w:color w:val="auto"/>
              </w:rPr>
              <w:t>Both targeted interventions and universal approaches can have positive overall effects:</w:t>
            </w:r>
          </w:p>
          <w:p w14:paraId="6E3886AC" w14:textId="0E69A20E" w:rsidR="008547C8" w:rsidRPr="00E27862" w:rsidRDefault="007565BF" w:rsidP="008547C8">
            <w:pPr>
              <w:pStyle w:val="TableRowCentered"/>
              <w:ind w:left="32"/>
              <w:jc w:val="left"/>
              <w:rPr>
                <w:color w:val="auto"/>
              </w:rPr>
            </w:pPr>
            <w:hyperlink r:id="rId20" w:history="1">
              <w:r w:rsidR="008547C8" w:rsidRPr="009A7AA4">
                <w:rPr>
                  <w:color w:val="0070C0"/>
                  <w:szCs w:val="24"/>
                  <w:u w:val="single"/>
                </w:rPr>
                <w:t>Behaviour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6BB3" w14:textId="7721420C" w:rsidR="008547C8" w:rsidRPr="00E27862" w:rsidRDefault="00F465CE" w:rsidP="00254630">
            <w:pPr>
              <w:pStyle w:val="TableRowCentered"/>
              <w:jc w:val="left"/>
              <w:rPr>
                <w:color w:val="auto"/>
                <w:sz w:val="22"/>
              </w:rPr>
            </w:pPr>
            <w:r>
              <w:rPr>
                <w:color w:val="auto"/>
                <w:sz w:val="22"/>
              </w:rPr>
              <w:t>5</w:t>
            </w:r>
          </w:p>
        </w:tc>
      </w:tr>
      <w:tr w:rsidR="008547C8" w14:paraId="2D4C84F2"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4E73" w14:textId="77777777" w:rsidR="00F465CE" w:rsidRPr="00E27862" w:rsidRDefault="00F465CE" w:rsidP="00F465CE">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p>
          <w:p w14:paraId="64D5F7C5" w14:textId="77777777" w:rsidR="008547C8" w:rsidRPr="00E27862" w:rsidRDefault="008547C8" w:rsidP="00254630">
            <w:pPr>
              <w:pStyle w:val="TableRow"/>
              <w:spacing w:after="120"/>
              <w:ind w:left="29"/>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3860" w14:textId="2FE49692" w:rsidR="008547C8" w:rsidRPr="00E27862" w:rsidRDefault="00F465CE" w:rsidP="00254630">
            <w:pPr>
              <w:pStyle w:val="TableRowCentered"/>
              <w:ind w:left="32"/>
              <w:jc w:val="left"/>
              <w:rPr>
                <w:color w:val="auto"/>
              </w:rPr>
            </w:pPr>
            <w:r w:rsidRPr="00E27862">
              <w:rPr>
                <w:color w:val="auto"/>
                <w:szCs w:val="22"/>
              </w:rPr>
              <w:t>Based on our experiences and those of similar schools to ours, we have identified a need to set a small amount of funding aside to respond quickly to 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A5B9" w14:textId="5DCC45E4" w:rsidR="008547C8" w:rsidRPr="00E27862" w:rsidRDefault="00F465CE" w:rsidP="00254630">
            <w:pPr>
              <w:pStyle w:val="TableRowCentered"/>
              <w:jc w:val="left"/>
              <w:rPr>
                <w:color w:val="auto"/>
                <w:sz w:val="22"/>
              </w:rPr>
            </w:pPr>
            <w:r>
              <w:rPr>
                <w:color w:val="auto"/>
                <w:sz w:val="22"/>
              </w:rPr>
              <w:t>All</w:t>
            </w:r>
          </w:p>
        </w:tc>
      </w:tr>
      <w:tr w:rsidR="008300CF" w14:paraId="5E875EA0" w14:textId="77777777" w:rsidTr="0025463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0F84" w14:textId="131BC616" w:rsidR="008300CF" w:rsidRPr="00E27862" w:rsidRDefault="008300CF" w:rsidP="00F465CE">
            <w:pPr>
              <w:suppressAutoHyphens w:val="0"/>
              <w:autoSpaceDN/>
              <w:spacing w:before="60" w:after="60" w:line="240" w:lineRule="auto"/>
              <w:ind w:left="29" w:right="57"/>
              <w:rPr>
                <w:iCs/>
                <w:color w:val="auto"/>
                <w:szCs w:val="28"/>
                <w:lang w:val="en-US"/>
              </w:rPr>
            </w:pPr>
            <w:r>
              <w:rPr>
                <w:iCs/>
                <w:color w:val="auto"/>
                <w:szCs w:val="28"/>
                <w:lang w:val="en-US"/>
              </w:rPr>
              <w:lastRenderedPageBreak/>
              <w:t>Funding for well-being activities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244D" w14:textId="6830E34C" w:rsidR="008300CF" w:rsidRPr="00E27862" w:rsidRDefault="008300CF" w:rsidP="00254630">
            <w:pPr>
              <w:pStyle w:val="TableRowCentered"/>
              <w:ind w:left="32"/>
              <w:jc w:val="left"/>
              <w:rPr>
                <w:color w:val="auto"/>
                <w:szCs w:val="22"/>
              </w:rPr>
            </w:pPr>
            <w:r>
              <w:rPr>
                <w:color w:val="auto"/>
                <w:szCs w:val="22"/>
              </w:rPr>
              <w:t xml:space="preserve">Funding of sports, music, drama and other related extra-curricular activities for disadvantaged </w:t>
            </w:r>
            <w:proofErr w:type="spellStart"/>
            <w:r>
              <w:rPr>
                <w:color w:val="auto"/>
                <w:szCs w:val="22"/>
              </w:rPr>
              <w:t>chn</w:t>
            </w:r>
            <w:proofErr w:type="spellEnd"/>
            <w:r>
              <w:rPr>
                <w:color w:val="auto"/>
                <w:szCs w:val="22"/>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86A6" w14:textId="79019948" w:rsidR="008300CF" w:rsidRDefault="008300CF" w:rsidP="00254630">
            <w:pPr>
              <w:pStyle w:val="TableRowCentered"/>
              <w:jc w:val="left"/>
              <w:rPr>
                <w:color w:val="auto"/>
                <w:sz w:val="22"/>
              </w:rPr>
            </w:pPr>
            <w:r>
              <w:rPr>
                <w:color w:val="auto"/>
                <w:sz w:val="22"/>
              </w:rPr>
              <w:t>5</w:t>
            </w:r>
          </w:p>
        </w:tc>
      </w:tr>
    </w:tbl>
    <w:p w14:paraId="1590E575" w14:textId="77777777" w:rsidR="008547C8" w:rsidRDefault="008547C8" w:rsidP="00120AB1">
      <w:pPr>
        <w:rPr>
          <w:b/>
          <w:bCs/>
          <w:color w:val="104F75"/>
          <w:sz w:val="28"/>
          <w:szCs w:val="28"/>
        </w:rPr>
      </w:pPr>
    </w:p>
    <w:p w14:paraId="2A7D5541" w14:textId="6A832124" w:rsidR="00E66558" w:rsidRDefault="009D71E8" w:rsidP="00120AB1">
      <w:pPr>
        <w:rPr>
          <w:b/>
          <w:bCs/>
          <w:color w:val="104F75"/>
          <w:sz w:val="28"/>
          <w:szCs w:val="28"/>
          <w:highlight w:val="yellow"/>
        </w:rPr>
      </w:pPr>
      <w:r>
        <w:rPr>
          <w:b/>
          <w:bCs/>
          <w:color w:val="104F75"/>
          <w:sz w:val="28"/>
          <w:szCs w:val="28"/>
        </w:rPr>
        <w:t xml:space="preserve">Total budgeted cost: </w:t>
      </w:r>
      <w:r w:rsidRPr="00CF7A76">
        <w:rPr>
          <w:b/>
          <w:bCs/>
          <w:color w:val="104F75"/>
          <w:sz w:val="28"/>
          <w:szCs w:val="28"/>
        </w:rPr>
        <w:t xml:space="preserve">£ </w:t>
      </w:r>
      <w:r w:rsidR="00D84695">
        <w:rPr>
          <w:b/>
          <w:bCs/>
          <w:color w:val="104F75"/>
          <w:sz w:val="28"/>
          <w:szCs w:val="28"/>
        </w:rPr>
        <w:t>83</w:t>
      </w:r>
      <w:r w:rsidR="00B4272C">
        <w:rPr>
          <w:b/>
          <w:bCs/>
          <w:color w:val="104F75"/>
          <w:sz w:val="28"/>
          <w:szCs w:val="28"/>
        </w:rPr>
        <w:t>,</w:t>
      </w:r>
      <w:r w:rsidR="00D84695">
        <w:rPr>
          <w:b/>
          <w:bCs/>
          <w:color w:val="104F75"/>
          <w:sz w:val="28"/>
          <w:szCs w:val="28"/>
        </w:rPr>
        <w:t>225</w:t>
      </w:r>
    </w:p>
    <w:p w14:paraId="389AE7AC" w14:textId="59B87498" w:rsidR="001A6F7C" w:rsidRDefault="0049464E" w:rsidP="00120AB1">
      <w:r>
        <w:t>The impact of pupil premium funded activity will be reviewed termly through pupil progress meetings, analysis of assessment data, attendance and behaviour monitoring, and evaluation of intervention outcomes. This ensures provision is adjusted swiftly where impact is limited.</w:t>
      </w:r>
    </w:p>
    <w:p w14:paraId="2A7D5542" w14:textId="6F540D13"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1EDF2FA4" w14:textId="39C3D189" w:rsidR="00852351" w:rsidRDefault="00852351">
      <w:r>
        <w:t>This section reviews the impact of pupil premium spending in the 2024–25 academic year, which directly informs the strategy for 2025–26 onwards</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08547C8">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1C04" w14:textId="04CE4CBD" w:rsidR="00BA3B88" w:rsidRPr="00E27862" w:rsidRDefault="00BA3B88" w:rsidP="008547C8">
            <w:pPr>
              <w:suppressAutoHyphens w:val="0"/>
              <w:autoSpaceDN/>
              <w:spacing w:before="120"/>
              <w:rPr>
                <w:color w:val="auto"/>
                <w:lang w:eastAsia="en-US"/>
              </w:rPr>
            </w:pPr>
            <w:r w:rsidRPr="00BA3B88">
              <w:rPr>
                <w:lang w:eastAsia="en-US"/>
              </w:rPr>
              <w:t>For the academic year 202</w:t>
            </w:r>
            <w:r w:rsidR="00C50339">
              <w:rPr>
                <w:lang w:eastAsia="en-US"/>
              </w:rPr>
              <w:t>4</w:t>
            </w:r>
            <w:r w:rsidRPr="00BA3B88">
              <w:rPr>
                <w:lang w:eastAsia="en-US"/>
              </w:rPr>
              <w:t xml:space="preserve"> – 2</w:t>
            </w:r>
            <w:r w:rsidR="00C50339">
              <w:rPr>
                <w:lang w:eastAsia="en-US"/>
              </w:rPr>
              <w:t>5</w:t>
            </w:r>
            <w:r w:rsidRPr="00BA3B88">
              <w:rPr>
                <w:lang w:eastAsia="en-US"/>
              </w:rPr>
              <w:t xml:space="preserve">, we </w:t>
            </w:r>
            <w:r w:rsidR="00B96E4B">
              <w:rPr>
                <w:lang w:eastAsia="en-US"/>
              </w:rPr>
              <w:t xml:space="preserve">continued to </w:t>
            </w:r>
            <w:r w:rsidRPr="00BA3B88">
              <w:rPr>
                <w:lang w:eastAsia="en-US"/>
              </w:rPr>
              <w:t xml:space="preserve">employ additional TA hours to increase the range and number of children who could be supported </w:t>
            </w:r>
            <w:r>
              <w:rPr>
                <w:lang w:eastAsia="en-US"/>
              </w:rPr>
              <w:t xml:space="preserve">in catching up via interventions. This included SEMH support in addition to academic interventions. </w:t>
            </w:r>
            <w:r w:rsidR="00B96E4B">
              <w:rPr>
                <w:lang w:eastAsia="en-US"/>
              </w:rPr>
              <w:t xml:space="preserve">We have also funded all TAs to support at break and lunchtimes, providing SEMH and behaviour regulation support during those unstructured times of day. </w:t>
            </w:r>
          </w:p>
          <w:p w14:paraId="61A25024" w14:textId="17695CA3" w:rsidR="00E66558" w:rsidRDefault="008547C8" w:rsidP="008547C8">
            <w:pPr>
              <w:rPr>
                <w:color w:val="auto"/>
                <w:lang w:eastAsia="en-US"/>
              </w:rPr>
            </w:pPr>
            <w:r w:rsidRPr="00E27862">
              <w:rPr>
                <w:color w:val="auto"/>
                <w:lang w:eastAsia="en-US"/>
              </w:rPr>
              <w:t xml:space="preserve">Our assessments and observations indicated that pupil wellbeing and mental </w:t>
            </w:r>
            <w:proofErr w:type="gramStart"/>
            <w:r w:rsidRPr="00E27862">
              <w:rPr>
                <w:color w:val="auto"/>
                <w:lang w:eastAsia="en-US"/>
              </w:rPr>
              <w:t xml:space="preserve">health  </w:t>
            </w:r>
            <w:r w:rsidR="00B96E4B">
              <w:rPr>
                <w:color w:val="auto"/>
                <w:lang w:eastAsia="en-US"/>
              </w:rPr>
              <w:t>continue</w:t>
            </w:r>
            <w:proofErr w:type="gramEnd"/>
            <w:r w:rsidR="00B96E4B">
              <w:rPr>
                <w:color w:val="auto"/>
                <w:lang w:eastAsia="en-US"/>
              </w:rPr>
              <w:t xml:space="preserve"> to be</w:t>
            </w:r>
            <w:r w:rsidR="00AE6474">
              <w:rPr>
                <w:color w:val="auto"/>
                <w:lang w:eastAsia="en-US"/>
              </w:rPr>
              <w:t xml:space="preserve"> of great concern</w:t>
            </w:r>
            <w:r w:rsidRPr="00E27862">
              <w:rPr>
                <w:color w:val="auto"/>
                <w:lang w:eastAsia="en-US"/>
              </w:rPr>
              <w:t xml:space="preserve">, </w:t>
            </w:r>
            <w:r w:rsidR="00B96E4B">
              <w:rPr>
                <w:color w:val="auto"/>
                <w:lang w:eastAsia="en-US"/>
              </w:rPr>
              <w:t xml:space="preserve">with </w:t>
            </w:r>
            <w:r w:rsidRPr="00E27862">
              <w:rPr>
                <w:color w:val="auto"/>
                <w:lang w:eastAsia="en-US"/>
              </w:rPr>
              <w:t xml:space="preserve">impact </w:t>
            </w:r>
            <w:r w:rsidR="00B96E4B">
              <w:rPr>
                <w:color w:val="auto"/>
                <w:lang w:eastAsia="en-US"/>
              </w:rPr>
              <w:t>being</w:t>
            </w:r>
            <w:r w:rsidRPr="00E27862">
              <w:rPr>
                <w:color w:val="auto"/>
                <w:lang w:eastAsia="en-US"/>
              </w:rPr>
              <w:t xml:space="preserve"> particularly acute for disadvantaged pupils</w:t>
            </w:r>
            <w:r w:rsidR="00AE6474">
              <w:rPr>
                <w:color w:val="auto"/>
                <w:lang w:eastAsia="en-US"/>
              </w:rPr>
              <w:t xml:space="preserve"> and their families</w:t>
            </w:r>
            <w:r w:rsidRPr="00E27862">
              <w:rPr>
                <w:color w:val="auto"/>
                <w:lang w:eastAsia="en-US"/>
              </w:rPr>
              <w:t xml:space="preserve">. We use pupil premium funding to </w:t>
            </w:r>
            <w:r w:rsidR="00B96E4B">
              <w:rPr>
                <w:color w:val="auto"/>
                <w:lang w:eastAsia="en-US"/>
              </w:rPr>
              <w:t xml:space="preserve">continue with the </w:t>
            </w:r>
            <w:r w:rsidRPr="00E27862">
              <w:rPr>
                <w:color w:val="auto"/>
                <w:lang w:eastAsia="en-US"/>
              </w:rPr>
              <w:t>provi</w:t>
            </w:r>
            <w:r w:rsidR="00B96E4B">
              <w:rPr>
                <w:color w:val="auto"/>
                <w:lang w:eastAsia="en-US"/>
              </w:rPr>
              <w:t>sion of</w:t>
            </w:r>
            <w:r w:rsidRPr="00E27862">
              <w:rPr>
                <w:color w:val="auto"/>
                <w:lang w:eastAsia="en-US"/>
              </w:rPr>
              <w:t xml:space="preserve"> wellbeing support for all pupils, and targeted interventions where required. We are building on that approach with the activities detailed in this plan.</w:t>
            </w:r>
          </w:p>
          <w:p w14:paraId="3BA74C10" w14:textId="509187DC" w:rsidR="006D2A81" w:rsidRPr="006D2A81" w:rsidRDefault="006D2A81" w:rsidP="006D2A81">
            <w:pPr>
              <w:rPr>
                <w:b/>
                <w:bCs/>
                <w:iCs/>
              </w:rPr>
            </w:pPr>
            <w:r w:rsidRPr="006D2A81">
              <w:rPr>
                <w:b/>
                <w:bCs/>
                <w:iCs/>
              </w:rPr>
              <w:t>202</w:t>
            </w:r>
            <w:r w:rsidR="00106A68">
              <w:rPr>
                <w:b/>
                <w:bCs/>
                <w:iCs/>
              </w:rPr>
              <w:t>4</w:t>
            </w:r>
            <w:r w:rsidRPr="006D2A81">
              <w:rPr>
                <w:b/>
                <w:bCs/>
                <w:iCs/>
              </w:rPr>
              <w:t>-2</w:t>
            </w:r>
            <w:r w:rsidR="00106A68">
              <w:rPr>
                <w:b/>
                <w:bCs/>
                <w:iCs/>
              </w:rPr>
              <w:t>5</w:t>
            </w:r>
            <w:r w:rsidRPr="006D2A81">
              <w:rPr>
                <w:b/>
                <w:bCs/>
                <w:iCs/>
              </w:rPr>
              <w:t xml:space="preserve"> Review of Intended Outcomes:</w:t>
            </w:r>
          </w:p>
          <w:p w14:paraId="1C1DCC98" w14:textId="5BE58611" w:rsidR="006D2A81" w:rsidRPr="006D2A81" w:rsidRDefault="00703241" w:rsidP="006D2A81">
            <w:pPr>
              <w:rPr>
                <w:b/>
                <w:bCs/>
                <w:i/>
                <w:iCs/>
              </w:rPr>
            </w:pPr>
            <w:r>
              <w:rPr>
                <w:b/>
                <w:bCs/>
                <w:i/>
                <w:iCs/>
              </w:rPr>
              <w:t xml:space="preserve">Academic Outcomes: </w:t>
            </w:r>
          </w:p>
          <w:p w14:paraId="3E3EA156" w14:textId="37AA4016" w:rsidR="006D2A81" w:rsidRDefault="006D2A81" w:rsidP="006D2A81">
            <w:r w:rsidRPr="006D2A81">
              <w:t>End of KS2 results for 202</w:t>
            </w:r>
            <w:r>
              <w:t>4</w:t>
            </w:r>
            <w:r w:rsidRPr="006D2A81">
              <w:t>-2</w:t>
            </w:r>
            <w:r>
              <w:t>5</w:t>
            </w:r>
            <w:r w:rsidRPr="006D2A81">
              <w:t xml:space="preserve"> cohort</w:t>
            </w:r>
            <w:r w:rsidR="00FD3AD5">
              <w:t xml:space="preserve">; % of </w:t>
            </w:r>
            <w:proofErr w:type="spellStart"/>
            <w:r w:rsidR="00FD3AD5">
              <w:t>chn</w:t>
            </w:r>
            <w:proofErr w:type="spellEnd"/>
            <w:r w:rsidR="00FD3AD5">
              <w:t xml:space="preserve"> achieving EXS</w:t>
            </w:r>
            <w:r w:rsidRPr="006D2A81">
              <w:t>:</w:t>
            </w:r>
          </w:p>
          <w:tbl>
            <w:tblPr>
              <w:tblStyle w:val="TableGrid"/>
              <w:tblW w:w="0" w:type="auto"/>
              <w:tblLook w:val="04A0" w:firstRow="1" w:lastRow="0" w:firstColumn="1" w:lastColumn="0" w:noHBand="0" w:noVBand="1"/>
            </w:tblPr>
            <w:tblGrid>
              <w:gridCol w:w="2188"/>
              <w:gridCol w:w="2189"/>
              <w:gridCol w:w="2189"/>
              <w:gridCol w:w="2189"/>
            </w:tblGrid>
            <w:tr w:rsidR="0084261C" w14:paraId="0D45CD2B" w14:textId="77777777" w:rsidTr="0084261C">
              <w:trPr>
                <w:trHeight w:val="486"/>
              </w:trPr>
              <w:tc>
                <w:tcPr>
                  <w:tcW w:w="2188" w:type="dxa"/>
                </w:tcPr>
                <w:p w14:paraId="0E6F598B" w14:textId="77777777" w:rsidR="0084261C" w:rsidRDefault="0084261C" w:rsidP="006D2A81"/>
              </w:tc>
              <w:tc>
                <w:tcPr>
                  <w:tcW w:w="2189" w:type="dxa"/>
                </w:tcPr>
                <w:p w14:paraId="0D12839F" w14:textId="77777777" w:rsidR="0084261C" w:rsidRDefault="0084261C" w:rsidP="00B44A6A">
                  <w:pPr>
                    <w:spacing w:after="0"/>
                    <w:jc w:val="center"/>
                  </w:pPr>
                  <w:r>
                    <w:t>School</w:t>
                  </w:r>
                </w:p>
                <w:p w14:paraId="60CADA46" w14:textId="610ADBEF" w:rsidR="00B44A6A" w:rsidRDefault="00B44A6A" w:rsidP="00B44A6A">
                  <w:pPr>
                    <w:spacing w:after="0"/>
                    <w:jc w:val="center"/>
                  </w:pPr>
                  <w:r>
                    <w:t xml:space="preserve">(6 </w:t>
                  </w:r>
                  <w:proofErr w:type="spellStart"/>
                  <w:r>
                    <w:t>chn</w:t>
                  </w:r>
                  <w:proofErr w:type="spellEnd"/>
                  <w:r>
                    <w:t>)</w:t>
                  </w:r>
                </w:p>
              </w:tc>
              <w:tc>
                <w:tcPr>
                  <w:tcW w:w="2189" w:type="dxa"/>
                </w:tcPr>
                <w:p w14:paraId="612492C8" w14:textId="4F4A567F" w:rsidR="0084261C" w:rsidRDefault="0084261C" w:rsidP="005F7012">
                  <w:pPr>
                    <w:jc w:val="center"/>
                  </w:pPr>
                  <w:r>
                    <w:t>L.A.</w:t>
                  </w:r>
                </w:p>
              </w:tc>
              <w:tc>
                <w:tcPr>
                  <w:tcW w:w="2189" w:type="dxa"/>
                </w:tcPr>
                <w:p w14:paraId="531FFD50" w14:textId="0BFBE421" w:rsidR="0084261C" w:rsidRDefault="0084261C" w:rsidP="005F7012">
                  <w:pPr>
                    <w:jc w:val="center"/>
                  </w:pPr>
                  <w:r>
                    <w:t>National</w:t>
                  </w:r>
                </w:p>
              </w:tc>
            </w:tr>
            <w:tr w:rsidR="0084261C" w14:paraId="0492844E" w14:textId="77777777" w:rsidTr="0084261C">
              <w:trPr>
                <w:trHeight w:val="473"/>
              </w:trPr>
              <w:tc>
                <w:tcPr>
                  <w:tcW w:w="2188" w:type="dxa"/>
                </w:tcPr>
                <w:p w14:paraId="49DC9BB3" w14:textId="57B354D8" w:rsidR="0084261C" w:rsidRDefault="0084261C" w:rsidP="006F2802">
                  <w:pPr>
                    <w:spacing w:after="0"/>
                  </w:pPr>
                  <w:r>
                    <w:t>Reading</w:t>
                  </w:r>
                </w:p>
              </w:tc>
              <w:tc>
                <w:tcPr>
                  <w:tcW w:w="2189" w:type="dxa"/>
                </w:tcPr>
                <w:p w14:paraId="2F4DFAE5" w14:textId="6D1C51F2" w:rsidR="0084261C" w:rsidRDefault="00853447" w:rsidP="006F2802">
                  <w:pPr>
                    <w:spacing w:after="0"/>
                    <w:jc w:val="center"/>
                  </w:pPr>
                  <w:r>
                    <w:t>67%</w:t>
                  </w:r>
                </w:p>
              </w:tc>
              <w:tc>
                <w:tcPr>
                  <w:tcW w:w="2189" w:type="dxa"/>
                </w:tcPr>
                <w:p w14:paraId="1501D3D3" w14:textId="77777777" w:rsidR="0084261C" w:rsidRDefault="00B44A6A" w:rsidP="006F2802">
                  <w:pPr>
                    <w:spacing w:after="0"/>
                    <w:jc w:val="center"/>
                  </w:pPr>
                  <w:r>
                    <w:t>58%</w:t>
                  </w:r>
                </w:p>
                <w:p w14:paraId="5D9EE700" w14:textId="5461CA13" w:rsidR="00B44A6A" w:rsidRDefault="003D50F0" w:rsidP="006F2802">
                  <w:pPr>
                    <w:spacing w:after="0"/>
                    <w:jc w:val="center"/>
                  </w:pPr>
                  <w:r>
                    <w:rPr>
                      <w:color w:val="00B050"/>
                    </w:rPr>
                    <w:t>(</w:t>
                  </w:r>
                  <w:r w:rsidRPr="003D50F0">
                    <w:rPr>
                      <w:color w:val="00B050"/>
                    </w:rPr>
                    <w:t>School +9%</w:t>
                  </w:r>
                  <w:r>
                    <w:rPr>
                      <w:color w:val="00B050"/>
                    </w:rPr>
                    <w:t>)</w:t>
                  </w:r>
                </w:p>
              </w:tc>
              <w:tc>
                <w:tcPr>
                  <w:tcW w:w="2189" w:type="dxa"/>
                </w:tcPr>
                <w:p w14:paraId="343B481F" w14:textId="77777777" w:rsidR="0084261C" w:rsidRDefault="00B44A6A" w:rsidP="006F2802">
                  <w:pPr>
                    <w:spacing w:after="0"/>
                    <w:jc w:val="center"/>
                  </w:pPr>
                  <w:r>
                    <w:t>63%</w:t>
                  </w:r>
                </w:p>
                <w:p w14:paraId="3410D39A" w14:textId="6F911368" w:rsidR="003D50F0" w:rsidRDefault="003D50F0" w:rsidP="006F2802">
                  <w:pPr>
                    <w:spacing w:after="0"/>
                    <w:jc w:val="center"/>
                  </w:pPr>
                  <w:r>
                    <w:rPr>
                      <w:color w:val="00B050"/>
                    </w:rPr>
                    <w:t>(</w:t>
                  </w:r>
                  <w:r w:rsidRPr="003D50F0">
                    <w:rPr>
                      <w:color w:val="00B050"/>
                    </w:rPr>
                    <w:t>School + 4%</w:t>
                  </w:r>
                  <w:r>
                    <w:rPr>
                      <w:color w:val="00B050"/>
                    </w:rPr>
                    <w:t>)</w:t>
                  </w:r>
                </w:p>
              </w:tc>
            </w:tr>
            <w:tr w:rsidR="0084261C" w14:paraId="300FCFAC" w14:textId="77777777" w:rsidTr="0084261C">
              <w:trPr>
                <w:trHeight w:val="486"/>
              </w:trPr>
              <w:tc>
                <w:tcPr>
                  <w:tcW w:w="2188" w:type="dxa"/>
                </w:tcPr>
                <w:p w14:paraId="03EA5126" w14:textId="1CC240A5" w:rsidR="0084261C" w:rsidRDefault="005F7012" w:rsidP="006F2802">
                  <w:pPr>
                    <w:spacing w:after="0"/>
                  </w:pPr>
                  <w:r>
                    <w:t>Maths</w:t>
                  </w:r>
                </w:p>
              </w:tc>
              <w:tc>
                <w:tcPr>
                  <w:tcW w:w="2189" w:type="dxa"/>
                </w:tcPr>
                <w:p w14:paraId="4F37C3BE" w14:textId="5AC10DE8" w:rsidR="0084261C" w:rsidRDefault="00A46FD0" w:rsidP="006F2802">
                  <w:pPr>
                    <w:spacing w:after="0"/>
                    <w:jc w:val="center"/>
                  </w:pPr>
                  <w:r>
                    <w:t>33%</w:t>
                  </w:r>
                </w:p>
              </w:tc>
              <w:tc>
                <w:tcPr>
                  <w:tcW w:w="2189" w:type="dxa"/>
                </w:tcPr>
                <w:p w14:paraId="04A26363" w14:textId="77777777" w:rsidR="0084261C" w:rsidRDefault="00A46FD0" w:rsidP="006F2802">
                  <w:pPr>
                    <w:spacing w:after="0"/>
                    <w:jc w:val="center"/>
                  </w:pPr>
                  <w:r>
                    <w:t>53%</w:t>
                  </w:r>
                </w:p>
                <w:p w14:paraId="295D3EEB" w14:textId="314F42A6" w:rsidR="008D4C4A" w:rsidRDefault="006F2802" w:rsidP="006F2802">
                  <w:pPr>
                    <w:spacing w:after="0"/>
                    <w:jc w:val="center"/>
                  </w:pPr>
                  <w:r w:rsidRPr="0074229C">
                    <w:rPr>
                      <w:color w:val="FF0000"/>
                    </w:rPr>
                    <w:t>(</w:t>
                  </w:r>
                  <w:r w:rsidR="008D4C4A" w:rsidRPr="0074229C">
                    <w:rPr>
                      <w:color w:val="FF0000"/>
                    </w:rPr>
                    <w:t>School -20%</w:t>
                  </w:r>
                  <w:r w:rsidRPr="0074229C">
                    <w:rPr>
                      <w:color w:val="FF0000"/>
                    </w:rPr>
                    <w:t>)</w:t>
                  </w:r>
                </w:p>
              </w:tc>
              <w:tc>
                <w:tcPr>
                  <w:tcW w:w="2189" w:type="dxa"/>
                </w:tcPr>
                <w:p w14:paraId="3E7CF0D3" w14:textId="77777777" w:rsidR="0084261C" w:rsidRDefault="008D4C4A" w:rsidP="006F2802">
                  <w:pPr>
                    <w:spacing w:after="0"/>
                    <w:jc w:val="center"/>
                  </w:pPr>
                  <w:r>
                    <w:t>61%</w:t>
                  </w:r>
                </w:p>
                <w:p w14:paraId="7943909D" w14:textId="59F601D8" w:rsidR="008D4C4A" w:rsidRDefault="006F2802" w:rsidP="006F2802">
                  <w:pPr>
                    <w:spacing w:after="0"/>
                    <w:jc w:val="center"/>
                  </w:pPr>
                  <w:r w:rsidRPr="0074229C">
                    <w:rPr>
                      <w:color w:val="FF0000"/>
                    </w:rPr>
                    <w:t>(School -28%)</w:t>
                  </w:r>
                </w:p>
              </w:tc>
            </w:tr>
            <w:tr w:rsidR="005F7012" w14:paraId="3C58B8E6" w14:textId="77777777" w:rsidTr="0084261C">
              <w:trPr>
                <w:trHeight w:val="486"/>
              </w:trPr>
              <w:tc>
                <w:tcPr>
                  <w:tcW w:w="2188" w:type="dxa"/>
                </w:tcPr>
                <w:p w14:paraId="7ADB71EC" w14:textId="72A13CA4" w:rsidR="005F7012" w:rsidRDefault="005F7012" w:rsidP="00037AEC">
                  <w:pPr>
                    <w:spacing w:after="0"/>
                  </w:pPr>
                  <w:r>
                    <w:t>GPAS</w:t>
                  </w:r>
                </w:p>
              </w:tc>
              <w:tc>
                <w:tcPr>
                  <w:tcW w:w="2189" w:type="dxa"/>
                </w:tcPr>
                <w:p w14:paraId="4FAE5DE6" w14:textId="3101C2B0" w:rsidR="005F7012" w:rsidRDefault="00C846EA" w:rsidP="00037AEC">
                  <w:pPr>
                    <w:spacing w:after="0"/>
                    <w:jc w:val="center"/>
                  </w:pPr>
                  <w:r>
                    <w:t>67%</w:t>
                  </w:r>
                </w:p>
              </w:tc>
              <w:tc>
                <w:tcPr>
                  <w:tcW w:w="2189" w:type="dxa"/>
                </w:tcPr>
                <w:p w14:paraId="2B822488" w14:textId="77777777" w:rsidR="005F7012" w:rsidRDefault="00894986" w:rsidP="00037AEC">
                  <w:pPr>
                    <w:spacing w:after="0"/>
                    <w:jc w:val="center"/>
                  </w:pPr>
                  <w:r>
                    <w:t>56%</w:t>
                  </w:r>
                </w:p>
                <w:p w14:paraId="6F55216F" w14:textId="5E84623D" w:rsidR="00894986" w:rsidRDefault="00894986" w:rsidP="00037AEC">
                  <w:pPr>
                    <w:spacing w:after="0"/>
                    <w:jc w:val="center"/>
                  </w:pPr>
                  <w:r w:rsidRPr="00037AEC">
                    <w:rPr>
                      <w:color w:val="00B050"/>
                    </w:rPr>
                    <w:t>(School +11%)</w:t>
                  </w:r>
                </w:p>
              </w:tc>
              <w:tc>
                <w:tcPr>
                  <w:tcW w:w="2189" w:type="dxa"/>
                </w:tcPr>
                <w:p w14:paraId="2DF9D71D" w14:textId="77777777" w:rsidR="005F7012" w:rsidRDefault="009B4C93" w:rsidP="00037AEC">
                  <w:pPr>
                    <w:spacing w:after="0"/>
                    <w:jc w:val="center"/>
                  </w:pPr>
                  <w:r>
                    <w:t>60%</w:t>
                  </w:r>
                </w:p>
                <w:p w14:paraId="2FF09A35" w14:textId="73835079" w:rsidR="00986533" w:rsidRDefault="00986533" w:rsidP="00037AEC">
                  <w:pPr>
                    <w:spacing w:after="0"/>
                    <w:jc w:val="center"/>
                  </w:pPr>
                  <w:r w:rsidRPr="00037AEC">
                    <w:rPr>
                      <w:color w:val="00B050"/>
                    </w:rPr>
                    <w:t>(School +</w:t>
                  </w:r>
                  <w:r w:rsidR="00037AEC" w:rsidRPr="00037AEC">
                    <w:rPr>
                      <w:color w:val="00B050"/>
                    </w:rPr>
                    <w:t>7%)</w:t>
                  </w:r>
                </w:p>
              </w:tc>
            </w:tr>
            <w:tr w:rsidR="005F7012" w14:paraId="47AC2EC5" w14:textId="77777777" w:rsidTr="0084261C">
              <w:trPr>
                <w:trHeight w:val="486"/>
              </w:trPr>
              <w:tc>
                <w:tcPr>
                  <w:tcW w:w="2188" w:type="dxa"/>
                </w:tcPr>
                <w:p w14:paraId="2E520177" w14:textId="1DCE4E3C" w:rsidR="005F7012" w:rsidRDefault="005F7012" w:rsidP="00106A68">
                  <w:pPr>
                    <w:spacing w:after="0"/>
                  </w:pPr>
                  <w:r>
                    <w:t>Writing (TA)</w:t>
                  </w:r>
                </w:p>
              </w:tc>
              <w:tc>
                <w:tcPr>
                  <w:tcW w:w="2189" w:type="dxa"/>
                </w:tcPr>
                <w:p w14:paraId="1B0EF6F1" w14:textId="5644113E" w:rsidR="005F7012" w:rsidRDefault="00F5759A" w:rsidP="00106A68">
                  <w:pPr>
                    <w:spacing w:after="0"/>
                    <w:jc w:val="center"/>
                  </w:pPr>
                  <w:r>
                    <w:t>33%</w:t>
                  </w:r>
                </w:p>
              </w:tc>
              <w:tc>
                <w:tcPr>
                  <w:tcW w:w="2189" w:type="dxa"/>
                </w:tcPr>
                <w:p w14:paraId="4C18FD7C" w14:textId="77777777" w:rsidR="005F7012" w:rsidRDefault="00AF4A5C" w:rsidP="00106A68">
                  <w:pPr>
                    <w:spacing w:after="0"/>
                    <w:jc w:val="center"/>
                  </w:pPr>
                  <w:r>
                    <w:t>55%</w:t>
                  </w:r>
                </w:p>
                <w:p w14:paraId="282444AF" w14:textId="1948312D" w:rsidR="00F44A83" w:rsidRDefault="00B30CAA" w:rsidP="00106A68">
                  <w:pPr>
                    <w:spacing w:after="0"/>
                    <w:jc w:val="center"/>
                  </w:pPr>
                  <w:r w:rsidRPr="00106A68">
                    <w:rPr>
                      <w:color w:val="FF0000"/>
                    </w:rPr>
                    <w:t>(</w:t>
                  </w:r>
                  <w:r w:rsidR="00F44A83" w:rsidRPr="00106A68">
                    <w:rPr>
                      <w:color w:val="FF0000"/>
                    </w:rPr>
                    <w:t>School -22%</w:t>
                  </w:r>
                  <w:r w:rsidRPr="00106A68">
                    <w:rPr>
                      <w:color w:val="FF0000"/>
                    </w:rPr>
                    <w:t>)</w:t>
                  </w:r>
                </w:p>
              </w:tc>
              <w:tc>
                <w:tcPr>
                  <w:tcW w:w="2189" w:type="dxa"/>
                </w:tcPr>
                <w:p w14:paraId="083174FD" w14:textId="77777777" w:rsidR="005F7012" w:rsidRDefault="00F44A83" w:rsidP="00106A68">
                  <w:pPr>
                    <w:spacing w:after="0"/>
                    <w:jc w:val="center"/>
                  </w:pPr>
                  <w:r>
                    <w:t>60%</w:t>
                  </w:r>
                </w:p>
                <w:p w14:paraId="126BABD8" w14:textId="65F90833" w:rsidR="00F44A83" w:rsidRDefault="00106A68" w:rsidP="00106A68">
                  <w:pPr>
                    <w:spacing w:after="0"/>
                    <w:jc w:val="center"/>
                  </w:pPr>
                  <w:r w:rsidRPr="00106A68">
                    <w:rPr>
                      <w:color w:val="FF0000"/>
                    </w:rPr>
                    <w:t>(</w:t>
                  </w:r>
                  <w:r w:rsidR="00F44A83" w:rsidRPr="00106A68">
                    <w:rPr>
                      <w:color w:val="FF0000"/>
                    </w:rPr>
                    <w:t>School</w:t>
                  </w:r>
                  <w:r w:rsidR="00B30CAA" w:rsidRPr="00106A68">
                    <w:rPr>
                      <w:color w:val="FF0000"/>
                    </w:rPr>
                    <w:t xml:space="preserve"> -27%</w:t>
                  </w:r>
                  <w:r w:rsidRPr="00106A68">
                    <w:rPr>
                      <w:color w:val="FF0000"/>
                    </w:rPr>
                    <w:t>)</w:t>
                  </w:r>
                  <w:r w:rsidR="00F44A83" w:rsidRPr="00106A68">
                    <w:rPr>
                      <w:color w:val="FF0000"/>
                    </w:rPr>
                    <w:t xml:space="preserve"> </w:t>
                  </w:r>
                </w:p>
              </w:tc>
            </w:tr>
          </w:tbl>
          <w:p w14:paraId="151FFB5F" w14:textId="77777777" w:rsidR="00DC18B2" w:rsidRDefault="00DC18B2" w:rsidP="00DC18B2">
            <w:r>
              <w:t>Summary:</w:t>
            </w:r>
          </w:p>
          <w:p w14:paraId="31E6CA1F" w14:textId="2577E37B" w:rsidR="007E175D" w:rsidRDefault="00DC18B2" w:rsidP="00DC18B2">
            <w:r>
              <w:t>The year showed a mixed picture, reflecting high SEND complexity within a small cohort (</w:t>
            </w:r>
            <w:r w:rsidR="00482699">
              <w:t xml:space="preserve">29 </w:t>
            </w:r>
            <w:proofErr w:type="spellStart"/>
            <w:r w:rsidR="00482699">
              <w:t>chn</w:t>
            </w:r>
            <w:proofErr w:type="spellEnd"/>
            <w:r w:rsidR="00482699">
              <w:t>, rather than the usual 58)</w:t>
            </w:r>
            <w:r w:rsidR="007E175D">
              <w:t>:</w:t>
            </w:r>
            <w:r>
              <w:t xml:space="preserve"> </w:t>
            </w:r>
          </w:p>
          <w:p w14:paraId="7902D14A" w14:textId="5D1E5272" w:rsidR="007E175D" w:rsidRPr="007E175D" w:rsidRDefault="007E175D" w:rsidP="007E175D">
            <w:r w:rsidRPr="007E175D">
              <w:t xml:space="preserve">3 of the 6 children </w:t>
            </w:r>
            <w:r>
              <w:t>entitled to PP</w:t>
            </w:r>
            <w:r w:rsidR="005A4366">
              <w:t xml:space="preserve"> </w:t>
            </w:r>
            <w:r w:rsidRPr="007E175D">
              <w:t xml:space="preserve">(50%) were SEND; 2 of those children were not entered for the tests as they were working at a pre-key stage level. </w:t>
            </w:r>
          </w:p>
          <w:p w14:paraId="4E8583B4" w14:textId="10E04597" w:rsidR="006C31B7" w:rsidRDefault="005A4366" w:rsidP="00DC18B2">
            <w:r>
              <w:lastRenderedPageBreak/>
              <w:t xml:space="preserve">There are ongoing strengths in </w:t>
            </w:r>
            <w:r w:rsidR="00712CE8">
              <w:t xml:space="preserve">attainment in </w:t>
            </w:r>
            <w:r w:rsidR="005B0AA1">
              <w:t xml:space="preserve">reading and GPAS, supporting the aim of PP </w:t>
            </w:r>
            <w:proofErr w:type="spellStart"/>
            <w:r w:rsidR="005B0AA1">
              <w:t>chn</w:t>
            </w:r>
            <w:proofErr w:type="spellEnd"/>
            <w:r w:rsidR="005B0AA1">
              <w:t xml:space="preserve"> being ‘secondary ready’ in these areas. </w:t>
            </w:r>
          </w:p>
          <w:p w14:paraId="06FB36BE" w14:textId="146C47FC" w:rsidR="00DC18B2" w:rsidRDefault="00712CE8" w:rsidP="00DC18B2">
            <w:r>
              <w:t xml:space="preserve">There continue to be ongoing concerns about attainment in maths and writing. </w:t>
            </w:r>
            <w:r w:rsidR="00DC18B2">
              <w:t>Priorities for next year include stronger focus on early oracy, transcription, and maths fluency, alongside sustained SEMH investment.</w:t>
            </w:r>
          </w:p>
          <w:p w14:paraId="28F49886" w14:textId="16BA75AE" w:rsidR="00732D06" w:rsidRDefault="00732D06" w:rsidP="00DC18B2">
            <w:pPr>
              <w:rPr>
                <w:b/>
                <w:bCs/>
              </w:rPr>
            </w:pPr>
            <w:r w:rsidRPr="00732D06">
              <w:rPr>
                <w:b/>
                <w:bCs/>
              </w:rPr>
              <w:t>Progress measures</w:t>
            </w:r>
            <w:r>
              <w:rPr>
                <w:b/>
                <w:bCs/>
              </w:rPr>
              <w:t xml:space="preserve"> – from KS1 to KS2</w:t>
            </w:r>
          </w:p>
          <w:p w14:paraId="093950A4" w14:textId="4D56B8D3" w:rsidR="00732D06" w:rsidRPr="00A36798" w:rsidRDefault="00732D06" w:rsidP="00DC18B2">
            <w:r w:rsidRPr="00A36798">
              <w:t>Although not available nationally, as a junior school, we track progress from end of KS1 to end of KS2. This internal data shows:</w:t>
            </w:r>
          </w:p>
          <w:p w14:paraId="1BE5F95C" w14:textId="543367E1" w:rsidR="00732D06" w:rsidRPr="00A36798" w:rsidRDefault="004419F3" w:rsidP="00DC18B2">
            <w:r w:rsidRPr="00A36798">
              <w:rPr>
                <w:b/>
                <w:bCs/>
              </w:rPr>
              <w:t xml:space="preserve">100% of PP children made </w:t>
            </w:r>
            <w:r w:rsidR="004C164E" w:rsidRPr="00A36798">
              <w:rPr>
                <w:b/>
                <w:bCs/>
              </w:rPr>
              <w:t>expected or greater progress</w:t>
            </w:r>
            <w:r w:rsidR="004C164E" w:rsidRPr="00A36798">
              <w:t xml:space="preserve"> from individual starting points</w:t>
            </w:r>
            <w:r w:rsidR="00A36798">
              <w:t xml:space="preserve"> in Reading, Wri</w:t>
            </w:r>
            <w:r w:rsidR="009D6EDC">
              <w:t xml:space="preserve">ting and Maths. </w:t>
            </w:r>
            <w:r w:rsidR="00A36798" w:rsidRPr="00A36798">
              <w:t xml:space="preserve">This is important data for a highly inclusive school with significantly higher levels of SEND than other schools. </w:t>
            </w:r>
          </w:p>
          <w:p w14:paraId="5F3220B9" w14:textId="06211582" w:rsidR="006D2A81" w:rsidRPr="00634C09" w:rsidRDefault="00942042" w:rsidP="00AE6474">
            <w:pPr>
              <w:rPr>
                <w:b/>
                <w:bCs/>
              </w:rPr>
            </w:pPr>
            <w:r w:rsidRPr="00634C09">
              <w:rPr>
                <w:b/>
                <w:bCs/>
              </w:rPr>
              <w:t xml:space="preserve">Internal data – PP vs </w:t>
            </w:r>
            <w:proofErr w:type="gramStart"/>
            <w:r w:rsidRPr="00634C09">
              <w:rPr>
                <w:b/>
                <w:bCs/>
              </w:rPr>
              <w:t>Non-PP</w:t>
            </w:r>
            <w:proofErr w:type="gramEnd"/>
            <w:r w:rsidRPr="00634C09">
              <w:rPr>
                <w:b/>
                <w:bCs/>
              </w:rPr>
              <w:t>:</w:t>
            </w:r>
          </w:p>
          <w:p w14:paraId="23B9C2FB" w14:textId="141C940E" w:rsidR="00942042" w:rsidRDefault="00942042" w:rsidP="00AE6474">
            <w:r w:rsidRPr="00942042">
              <w:rPr>
                <w:noProof/>
              </w:rPr>
              <w:drawing>
                <wp:inline distT="0" distB="0" distL="0" distR="0" wp14:anchorId="27688E9E" wp14:editId="71341059">
                  <wp:extent cx="5391902" cy="269595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91902" cy="2695951"/>
                          </a:xfrm>
                          <a:prstGeom prst="rect">
                            <a:avLst/>
                          </a:prstGeom>
                        </pic:spPr>
                      </pic:pic>
                    </a:graphicData>
                  </a:graphic>
                </wp:inline>
              </w:drawing>
            </w:r>
          </w:p>
          <w:p w14:paraId="1B8965BA" w14:textId="51AA7E07" w:rsidR="00942042" w:rsidRDefault="00CA6126" w:rsidP="00AE6474">
            <w:r w:rsidRPr="00CA6126">
              <w:rPr>
                <w:noProof/>
              </w:rPr>
              <w:drawing>
                <wp:inline distT="0" distB="0" distL="0" distR="0" wp14:anchorId="14B1BBE5" wp14:editId="01820282">
                  <wp:extent cx="5468113" cy="267689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68113" cy="2676899"/>
                          </a:xfrm>
                          <a:prstGeom prst="rect">
                            <a:avLst/>
                          </a:prstGeom>
                        </pic:spPr>
                      </pic:pic>
                    </a:graphicData>
                  </a:graphic>
                </wp:inline>
              </w:drawing>
            </w:r>
          </w:p>
          <w:p w14:paraId="39F6EA58" w14:textId="3F4BD64E" w:rsidR="00A10CCB" w:rsidRDefault="00AF3ACE" w:rsidP="00A10CCB">
            <w:r w:rsidRPr="00AF3ACE">
              <w:rPr>
                <w:noProof/>
              </w:rPr>
              <w:lastRenderedPageBreak/>
              <w:drawing>
                <wp:inline distT="0" distB="0" distL="0" distR="0" wp14:anchorId="5B6951D7" wp14:editId="72758755">
                  <wp:extent cx="5087060" cy="27816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87060" cy="2781688"/>
                          </a:xfrm>
                          <a:prstGeom prst="rect">
                            <a:avLst/>
                          </a:prstGeom>
                        </pic:spPr>
                      </pic:pic>
                    </a:graphicData>
                  </a:graphic>
                </wp:inline>
              </w:drawing>
            </w:r>
          </w:p>
          <w:p w14:paraId="183EB3E4" w14:textId="05DDFB25" w:rsidR="00424370" w:rsidRDefault="00424370" w:rsidP="00A10CCB">
            <w:r w:rsidRPr="00424370">
              <w:rPr>
                <w:noProof/>
              </w:rPr>
              <w:drawing>
                <wp:inline distT="0" distB="0" distL="0" distR="0" wp14:anchorId="2FF8732A" wp14:editId="6966D8FD">
                  <wp:extent cx="5182323" cy="265784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82323" cy="2657846"/>
                          </a:xfrm>
                          <a:prstGeom prst="rect">
                            <a:avLst/>
                          </a:prstGeom>
                        </pic:spPr>
                      </pic:pic>
                    </a:graphicData>
                  </a:graphic>
                </wp:inline>
              </w:drawing>
            </w:r>
          </w:p>
          <w:p w14:paraId="308BDD26" w14:textId="6AFDA051" w:rsidR="000B4175" w:rsidRPr="00E45E5A" w:rsidRDefault="000B4175" w:rsidP="00A10CCB">
            <w:pPr>
              <w:rPr>
                <w:b/>
                <w:bCs/>
              </w:rPr>
            </w:pPr>
            <w:r w:rsidRPr="00E45E5A">
              <w:rPr>
                <w:b/>
                <w:bCs/>
              </w:rPr>
              <w:t>Summary:</w:t>
            </w:r>
          </w:p>
          <w:p w14:paraId="2AB76DD3" w14:textId="1B4E3D5E" w:rsidR="0039286D" w:rsidRDefault="000B4175" w:rsidP="00A10CCB">
            <w:r>
              <w:t xml:space="preserve">Reading – PP </w:t>
            </w:r>
            <w:proofErr w:type="spellStart"/>
            <w:r>
              <w:t>chn</w:t>
            </w:r>
            <w:proofErr w:type="spellEnd"/>
            <w:r>
              <w:t xml:space="preserve"> </w:t>
            </w:r>
            <w:r w:rsidR="0039286D">
              <w:t>in line with non-PP</w:t>
            </w:r>
            <w:r w:rsidR="00CA7AE5">
              <w:t xml:space="preserve"> (1.5% above non-PP) </w:t>
            </w:r>
          </w:p>
          <w:p w14:paraId="1205FF4E" w14:textId="72E97928" w:rsidR="00424370" w:rsidRDefault="0039286D" w:rsidP="00A10CCB">
            <w:r>
              <w:t xml:space="preserve">Writing </w:t>
            </w:r>
            <w:r w:rsidR="00424370">
              <w:t>–</w:t>
            </w:r>
            <w:r>
              <w:t xml:space="preserve"> </w:t>
            </w:r>
            <w:r w:rsidR="00CA7AE5">
              <w:t>23.2% gap</w:t>
            </w:r>
          </w:p>
          <w:p w14:paraId="33C569C0" w14:textId="71CFFC85" w:rsidR="00396EB7" w:rsidRDefault="00396EB7" w:rsidP="00A10CCB">
            <w:r>
              <w:t xml:space="preserve">Maths – </w:t>
            </w:r>
            <w:r w:rsidR="00BD464A">
              <w:t xml:space="preserve">40.6% gap </w:t>
            </w:r>
            <w:r>
              <w:t xml:space="preserve">6 </w:t>
            </w:r>
            <w:proofErr w:type="spellStart"/>
            <w:r>
              <w:t>chn</w:t>
            </w:r>
            <w:proofErr w:type="spellEnd"/>
            <w:r>
              <w:t xml:space="preserve">, </w:t>
            </w:r>
            <w:r w:rsidR="00FC1FDC">
              <w:t xml:space="preserve">3 working below the level of the test, and one achieved scaled score of 99, so very close to EXS (100). </w:t>
            </w:r>
            <w:r w:rsidR="00BD464A">
              <w:t xml:space="preserve">This child had achieved EXS on prior tests but not on the day. </w:t>
            </w:r>
          </w:p>
          <w:p w14:paraId="4BA83386" w14:textId="187BD39E" w:rsidR="00424370" w:rsidRDefault="00424370" w:rsidP="00A10CCB">
            <w:r>
              <w:t>GPAS</w:t>
            </w:r>
            <w:r w:rsidR="00297868">
              <w:t xml:space="preserve"> – 7.2% gap</w:t>
            </w:r>
          </w:p>
          <w:p w14:paraId="1F02B483" w14:textId="7E9947B3" w:rsidR="00F522CB" w:rsidRDefault="00F522CB" w:rsidP="00F522CB">
            <w:r>
              <w:t xml:space="preserve">Again, there are ongoing strengths in narrowing the gap internally between PP &amp; non-PP in reading and GPAS, supporting the aim of PP </w:t>
            </w:r>
            <w:proofErr w:type="spellStart"/>
            <w:r>
              <w:t>chn</w:t>
            </w:r>
            <w:proofErr w:type="spellEnd"/>
            <w:r>
              <w:t xml:space="preserve"> being ‘secondary ready’ in these areas. </w:t>
            </w:r>
          </w:p>
          <w:p w14:paraId="779DCBC9" w14:textId="1F8948DD" w:rsidR="006951B7" w:rsidRDefault="006951B7" w:rsidP="006951B7">
            <w:r>
              <w:lastRenderedPageBreak/>
              <w:t>As before, there continue to be ongoing concerns about attainment in maths and writing. Priorities for next year include stronger focus on early oracy, transcription, and maths fluency, alongside sustained SEMH investment.</w:t>
            </w:r>
          </w:p>
          <w:p w14:paraId="4BA7C4EF" w14:textId="77C69897" w:rsidR="00F522CB" w:rsidRPr="005672F7" w:rsidRDefault="005672F7" w:rsidP="00A10CCB">
            <w:pPr>
              <w:rPr>
                <w:b/>
                <w:bCs/>
              </w:rPr>
            </w:pPr>
            <w:r w:rsidRPr="005672F7">
              <w:rPr>
                <w:b/>
                <w:bCs/>
              </w:rPr>
              <w:t>Y4 MTC check</w:t>
            </w:r>
          </w:p>
          <w:p w14:paraId="50067D79" w14:textId="601BBCFD" w:rsidR="005672F7" w:rsidRDefault="005672F7" w:rsidP="00A10CCB">
            <w:r w:rsidRPr="005672F7">
              <w:rPr>
                <w:noProof/>
              </w:rPr>
              <w:drawing>
                <wp:inline distT="0" distB="0" distL="0" distR="0" wp14:anchorId="232E1E36" wp14:editId="1851B663">
                  <wp:extent cx="5762625" cy="49994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82868" cy="5017055"/>
                          </a:xfrm>
                          <a:prstGeom prst="rect">
                            <a:avLst/>
                          </a:prstGeom>
                        </pic:spPr>
                      </pic:pic>
                    </a:graphicData>
                  </a:graphic>
                </wp:inline>
              </w:drawing>
            </w:r>
          </w:p>
          <w:p w14:paraId="73F83648" w14:textId="666573F4" w:rsidR="005672F7" w:rsidRDefault="005672F7" w:rsidP="00A10CCB">
            <w:r>
              <w:t xml:space="preserve">Gap of </w:t>
            </w:r>
            <w:r w:rsidR="00E45E5A">
              <w:t xml:space="preserve">3.7 points between PP and non-PP. </w:t>
            </w:r>
          </w:p>
          <w:p w14:paraId="05C27E6C" w14:textId="583D0674" w:rsidR="00A10CCB" w:rsidRDefault="00A10CCB" w:rsidP="00A10CCB">
            <w:r>
              <w:t>SEMH</w:t>
            </w:r>
            <w:r w:rsidR="00703241">
              <w:t xml:space="preserve"> outcomes</w:t>
            </w:r>
            <w:r>
              <w:t>:</w:t>
            </w:r>
          </w:p>
          <w:p w14:paraId="1178A557" w14:textId="29FDC4AB" w:rsidR="00A10CCB" w:rsidRDefault="00A10CCB" w:rsidP="00A10CCB">
            <w:r>
              <w:t xml:space="preserve">- </w:t>
            </w:r>
            <w:r w:rsidR="00BB1CA9">
              <w:t>18</w:t>
            </w:r>
            <w:r>
              <w:t xml:space="preserve"> </w:t>
            </w:r>
            <w:r w:rsidR="00BB1CA9">
              <w:t>children</w:t>
            </w:r>
            <w:r>
              <w:t xml:space="preserve"> received Drawing &amp; Talking therapy; </w:t>
            </w:r>
            <w:r w:rsidR="00BB1CA9">
              <w:t>100</w:t>
            </w:r>
            <w:r>
              <w:t>% improved on emotional wellbeing</w:t>
            </w:r>
            <w:r w:rsidR="00BB1CA9">
              <w:t>,</w:t>
            </w:r>
            <w:r>
              <w:t xml:space="preserve"> measure</w:t>
            </w:r>
            <w:r w:rsidR="00BB1CA9">
              <w:t>d using SDQ</w:t>
            </w:r>
            <w:r w:rsidR="00673139">
              <w:t xml:space="preserve"> questionnaires; all moved from very high or high scores at outset </w:t>
            </w:r>
            <w:r w:rsidR="00494ACB">
              <w:t>to scores close to average.</w:t>
            </w:r>
          </w:p>
          <w:p w14:paraId="5C6BC59B" w14:textId="77777777" w:rsidR="00A10CCB" w:rsidRDefault="00A10CCB" w:rsidP="00A10CCB">
            <w:r>
              <w:t>- Family Link Worker provided ongoing family support.</w:t>
            </w:r>
          </w:p>
          <w:p w14:paraId="2D88C4B2" w14:textId="77777777" w:rsidR="00A10CCB" w:rsidRDefault="00A10CCB" w:rsidP="00A10CCB">
            <w:r>
              <w:t>- Improved readiness to learn for SEMH-supported pupils.</w:t>
            </w:r>
          </w:p>
          <w:p w14:paraId="2A7D5546" w14:textId="21D1F42F" w:rsidR="00C50339" w:rsidRDefault="00703241" w:rsidP="00CA1DCD">
            <w:r>
              <w:t xml:space="preserve">- Reduction in </w:t>
            </w:r>
            <w:r w:rsidR="005A2E7B">
              <w:t xml:space="preserve">number of children moving through the behaviour management process, leading to fewer detentions. </w:t>
            </w:r>
            <w:r w:rsidR="004E077D">
              <w:t>10% reduction in 2024-25 vs 2023-2</w:t>
            </w:r>
            <w:r w:rsidR="00C4655F">
              <w:t>4.</w:t>
            </w:r>
          </w:p>
        </w:tc>
      </w:tr>
    </w:tbl>
    <w:p w14:paraId="59680F09" w14:textId="559975EF" w:rsidR="007E25AD" w:rsidRDefault="007E25AD"/>
    <w:p w14:paraId="7B4E260A" w14:textId="00165422" w:rsidR="008D0FFB" w:rsidRDefault="008D0FFB"/>
    <w:p w14:paraId="73A6519F" w14:textId="4E964696" w:rsidR="008D0FFB" w:rsidRDefault="008D0FFB"/>
    <w:p w14:paraId="761EB97D" w14:textId="13BED7D0" w:rsidR="008D0FFB" w:rsidRDefault="008D0FFB"/>
    <w:p w14:paraId="1B6A1384" w14:textId="77777777" w:rsidR="008D0FFB" w:rsidRDefault="008D0FFB"/>
    <w:p w14:paraId="1D9C7015" w14:textId="5F948D06" w:rsidR="008D0FFB" w:rsidRDefault="008D0FFB"/>
    <w:p w14:paraId="60F314AA" w14:textId="77777777" w:rsidR="008D0FFB" w:rsidRDefault="008D0FFB"/>
    <w:p w14:paraId="4E9DE38D" w14:textId="77777777" w:rsidR="008D0FFB" w:rsidRDefault="008D0FFB"/>
    <w:bookmarkEnd w:id="14"/>
    <w:bookmarkEnd w:id="15"/>
    <w:bookmarkEnd w:id="16"/>
    <w:p w14:paraId="2A7D5564" w14:textId="77777777" w:rsidR="00E66558" w:rsidRDefault="00E66558"/>
    <w:sectPr w:rsidR="00E66558">
      <w:headerReference w:type="default" r:id="rId26"/>
      <w:footerReference w:type="default" r:id="rId2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87B2" w14:textId="77777777" w:rsidR="00DF747F" w:rsidRDefault="00DF747F">
      <w:pPr>
        <w:spacing w:after="0" w:line="240" w:lineRule="auto"/>
      </w:pPr>
      <w:r>
        <w:separator/>
      </w:r>
    </w:p>
  </w:endnote>
  <w:endnote w:type="continuationSeparator" w:id="0">
    <w:p w14:paraId="026015EC" w14:textId="77777777" w:rsidR="00DF747F" w:rsidRDefault="00DF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29424C75" w:rsidR="005E28A4" w:rsidRDefault="009D71E8">
    <w:pPr>
      <w:pStyle w:val="Footer"/>
      <w:ind w:firstLine="4513"/>
    </w:pPr>
    <w:r>
      <w:fldChar w:fldCharType="begin"/>
    </w:r>
    <w:r>
      <w:instrText xml:space="preserve"> PAGE </w:instrText>
    </w:r>
    <w:r>
      <w:fldChar w:fldCharType="separate"/>
    </w:r>
    <w:r w:rsidR="00437F4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5586" w14:textId="77777777" w:rsidR="00DF747F" w:rsidRDefault="00DF747F">
      <w:pPr>
        <w:spacing w:after="0" w:line="240" w:lineRule="auto"/>
      </w:pPr>
      <w:r>
        <w:separator/>
      </w:r>
    </w:p>
  </w:footnote>
  <w:footnote w:type="continuationSeparator" w:id="0">
    <w:p w14:paraId="4CB4569C" w14:textId="77777777" w:rsidR="00DF747F" w:rsidRDefault="00DF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756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BE5D39"/>
    <w:multiLevelType w:val="hybridMultilevel"/>
    <w:tmpl w:val="5EC0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91A6AC4"/>
    <w:multiLevelType w:val="hybridMultilevel"/>
    <w:tmpl w:val="D10A2D5E"/>
    <w:lvl w:ilvl="0" w:tplc="36BC12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3BF605DF"/>
    <w:multiLevelType w:val="hybridMultilevel"/>
    <w:tmpl w:val="75F0DE32"/>
    <w:lvl w:ilvl="0" w:tplc="9530E2C6">
      <w:start w:val="5"/>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D802757"/>
    <w:multiLevelType w:val="hybridMultilevel"/>
    <w:tmpl w:val="7B62EBF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6635449"/>
    <w:multiLevelType w:val="hybridMultilevel"/>
    <w:tmpl w:val="64D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26892"/>
    <w:multiLevelType w:val="hybridMultilevel"/>
    <w:tmpl w:val="7F4A9AAC"/>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8" w15:restartNumberingAfterBreak="0">
    <w:nsid w:val="6FFF47AC"/>
    <w:multiLevelType w:val="hybridMultilevel"/>
    <w:tmpl w:val="BBAC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1"/>
  </w:num>
  <w:num w:numId="6">
    <w:abstractNumId w:val="11"/>
  </w:num>
  <w:num w:numId="7">
    <w:abstractNumId w:val="15"/>
  </w:num>
  <w:num w:numId="8">
    <w:abstractNumId w:val="21"/>
  </w:num>
  <w:num w:numId="9">
    <w:abstractNumId w:val="19"/>
  </w:num>
  <w:num w:numId="10">
    <w:abstractNumId w:val="16"/>
  </w:num>
  <w:num w:numId="11">
    <w:abstractNumId w:val="4"/>
  </w:num>
  <w:num w:numId="12">
    <w:abstractNumId w:val="20"/>
  </w:num>
  <w:num w:numId="13">
    <w:abstractNumId w:val="14"/>
  </w:num>
  <w:num w:numId="14">
    <w:abstractNumId w:val="12"/>
  </w:num>
  <w:num w:numId="15">
    <w:abstractNumId w:val="2"/>
  </w:num>
  <w:num w:numId="16">
    <w:abstractNumId w:val="18"/>
  </w:num>
  <w:num w:numId="17">
    <w:abstractNumId w:val="8"/>
  </w:num>
  <w:num w:numId="18">
    <w:abstractNumId w:val="17"/>
  </w:num>
  <w:num w:numId="19">
    <w:abstractNumId w:val="10"/>
  </w:num>
  <w:num w:numId="20">
    <w:abstractNumId w:val="9"/>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560D"/>
    <w:rsid w:val="00037AEC"/>
    <w:rsid w:val="00043AB8"/>
    <w:rsid w:val="0004702F"/>
    <w:rsid w:val="00066B73"/>
    <w:rsid w:val="00080B0E"/>
    <w:rsid w:val="000A55E3"/>
    <w:rsid w:val="000B4175"/>
    <w:rsid w:val="00101E21"/>
    <w:rsid w:val="00104843"/>
    <w:rsid w:val="00106A68"/>
    <w:rsid w:val="00120AB1"/>
    <w:rsid w:val="00135FCD"/>
    <w:rsid w:val="00144E7D"/>
    <w:rsid w:val="001577D2"/>
    <w:rsid w:val="001724A7"/>
    <w:rsid w:val="001A6F7C"/>
    <w:rsid w:val="001B3877"/>
    <w:rsid w:val="0021187B"/>
    <w:rsid w:val="00230D9F"/>
    <w:rsid w:val="002570CB"/>
    <w:rsid w:val="00262659"/>
    <w:rsid w:val="00263CD3"/>
    <w:rsid w:val="002641F5"/>
    <w:rsid w:val="00274865"/>
    <w:rsid w:val="002844A5"/>
    <w:rsid w:val="00290558"/>
    <w:rsid w:val="00296997"/>
    <w:rsid w:val="00297868"/>
    <w:rsid w:val="002A749C"/>
    <w:rsid w:val="002D161C"/>
    <w:rsid w:val="002D4665"/>
    <w:rsid w:val="002F60A5"/>
    <w:rsid w:val="002F6D9A"/>
    <w:rsid w:val="00331F5C"/>
    <w:rsid w:val="003369CC"/>
    <w:rsid w:val="00356C49"/>
    <w:rsid w:val="00357859"/>
    <w:rsid w:val="0038098E"/>
    <w:rsid w:val="0039286D"/>
    <w:rsid w:val="00396EB7"/>
    <w:rsid w:val="003B703B"/>
    <w:rsid w:val="003D50F0"/>
    <w:rsid w:val="003F5989"/>
    <w:rsid w:val="004044AA"/>
    <w:rsid w:val="00417A0F"/>
    <w:rsid w:val="00424370"/>
    <w:rsid w:val="00426D08"/>
    <w:rsid w:val="00437F43"/>
    <w:rsid w:val="004419F3"/>
    <w:rsid w:val="00477B86"/>
    <w:rsid w:val="00482699"/>
    <w:rsid w:val="0049464E"/>
    <w:rsid w:val="00494ACB"/>
    <w:rsid w:val="004C164E"/>
    <w:rsid w:val="004C7BFA"/>
    <w:rsid w:val="004E077D"/>
    <w:rsid w:val="004E7F4D"/>
    <w:rsid w:val="00522A43"/>
    <w:rsid w:val="005438D6"/>
    <w:rsid w:val="00561459"/>
    <w:rsid w:val="005672F7"/>
    <w:rsid w:val="00593F64"/>
    <w:rsid w:val="005A2E7B"/>
    <w:rsid w:val="005A4366"/>
    <w:rsid w:val="005B0AA1"/>
    <w:rsid w:val="005D06C8"/>
    <w:rsid w:val="005F09EA"/>
    <w:rsid w:val="005F7012"/>
    <w:rsid w:val="00634C09"/>
    <w:rsid w:val="00654403"/>
    <w:rsid w:val="00656516"/>
    <w:rsid w:val="00662245"/>
    <w:rsid w:val="00673139"/>
    <w:rsid w:val="006951B7"/>
    <w:rsid w:val="006B5FEB"/>
    <w:rsid w:val="006C31B7"/>
    <w:rsid w:val="006C506B"/>
    <w:rsid w:val="006D2A81"/>
    <w:rsid w:val="006E7FB1"/>
    <w:rsid w:val="006F2802"/>
    <w:rsid w:val="006F2A8B"/>
    <w:rsid w:val="006F5C0F"/>
    <w:rsid w:val="00703241"/>
    <w:rsid w:val="00712CE8"/>
    <w:rsid w:val="007274AF"/>
    <w:rsid w:val="00732D06"/>
    <w:rsid w:val="00741B9E"/>
    <w:rsid w:val="0074229C"/>
    <w:rsid w:val="00751DC2"/>
    <w:rsid w:val="00765C92"/>
    <w:rsid w:val="00767C9C"/>
    <w:rsid w:val="00784440"/>
    <w:rsid w:val="0078615F"/>
    <w:rsid w:val="00791C57"/>
    <w:rsid w:val="007B744C"/>
    <w:rsid w:val="007C12CD"/>
    <w:rsid w:val="007C1FDF"/>
    <w:rsid w:val="007C2F04"/>
    <w:rsid w:val="007C358D"/>
    <w:rsid w:val="007D1E43"/>
    <w:rsid w:val="007E175D"/>
    <w:rsid w:val="007E25AD"/>
    <w:rsid w:val="007E5F87"/>
    <w:rsid w:val="0080039A"/>
    <w:rsid w:val="00827607"/>
    <w:rsid w:val="008300CF"/>
    <w:rsid w:val="0084261C"/>
    <w:rsid w:val="00852351"/>
    <w:rsid w:val="00853447"/>
    <w:rsid w:val="008547C8"/>
    <w:rsid w:val="008675AE"/>
    <w:rsid w:val="00885A11"/>
    <w:rsid w:val="00892E53"/>
    <w:rsid w:val="00894986"/>
    <w:rsid w:val="008A70AA"/>
    <w:rsid w:val="008D0CD5"/>
    <w:rsid w:val="008D0FFB"/>
    <w:rsid w:val="008D4C4A"/>
    <w:rsid w:val="008E0A6C"/>
    <w:rsid w:val="008E10A9"/>
    <w:rsid w:val="008E5517"/>
    <w:rsid w:val="009316DF"/>
    <w:rsid w:val="00942042"/>
    <w:rsid w:val="00986533"/>
    <w:rsid w:val="00995051"/>
    <w:rsid w:val="009B084F"/>
    <w:rsid w:val="009B4C93"/>
    <w:rsid w:val="009B7AAD"/>
    <w:rsid w:val="009D6EDC"/>
    <w:rsid w:val="009D71E8"/>
    <w:rsid w:val="009E68BE"/>
    <w:rsid w:val="00A10CCB"/>
    <w:rsid w:val="00A1408E"/>
    <w:rsid w:val="00A202B4"/>
    <w:rsid w:val="00A3520A"/>
    <w:rsid w:val="00A36798"/>
    <w:rsid w:val="00A376AA"/>
    <w:rsid w:val="00A46FD0"/>
    <w:rsid w:val="00A7097A"/>
    <w:rsid w:val="00AA4201"/>
    <w:rsid w:val="00AD4D38"/>
    <w:rsid w:val="00AD4FA8"/>
    <w:rsid w:val="00AE6474"/>
    <w:rsid w:val="00AF3ACE"/>
    <w:rsid w:val="00AF4A5C"/>
    <w:rsid w:val="00AF4CEF"/>
    <w:rsid w:val="00B30CAA"/>
    <w:rsid w:val="00B4272C"/>
    <w:rsid w:val="00B44A6A"/>
    <w:rsid w:val="00B900EC"/>
    <w:rsid w:val="00B92BF0"/>
    <w:rsid w:val="00B96E4B"/>
    <w:rsid w:val="00BA3B88"/>
    <w:rsid w:val="00BB1CA9"/>
    <w:rsid w:val="00BD1C27"/>
    <w:rsid w:val="00BD464A"/>
    <w:rsid w:val="00C0027B"/>
    <w:rsid w:val="00C44F0C"/>
    <w:rsid w:val="00C4655F"/>
    <w:rsid w:val="00C50339"/>
    <w:rsid w:val="00C62601"/>
    <w:rsid w:val="00C707FE"/>
    <w:rsid w:val="00C846EA"/>
    <w:rsid w:val="00CA1DCD"/>
    <w:rsid w:val="00CA6126"/>
    <w:rsid w:val="00CA7AE5"/>
    <w:rsid w:val="00CC1690"/>
    <w:rsid w:val="00CD03D4"/>
    <w:rsid w:val="00CE2399"/>
    <w:rsid w:val="00CF31E4"/>
    <w:rsid w:val="00CF7A76"/>
    <w:rsid w:val="00D13B3E"/>
    <w:rsid w:val="00D1605D"/>
    <w:rsid w:val="00D33FE5"/>
    <w:rsid w:val="00D379F0"/>
    <w:rsid w:val="00D8409C"/>
    <w:rsid w:val="00D84695"/>
    <w:rsid w:val="00DC18B2"/>
    <w:rsid w:val="00DF747F"/>
    <w:rsid w:val="00E067AF"/>
    <w:rsid w:val="00E217D7"/>
    <w:rsid w:val="00E37B5B"/>
    <w:rsid w:val="00E45E5A"/>
    <w:rsid w:val="00E47404"/>
    <w:rsid w:val="00E608E4"/>
    <w:rsid w:val="00E66558"/>
    <w:rsid w:val="00EC7AD0"/>
    <w:rsid w:val="00EC7DBE"/>
    <w:rsid w:val="00ED36AA"/>
    <w:rsid w:val="00EF1904"/>
    <w:rsid w:val="00F23DC7"/>
    <w:rsid w:val="00F44A83"/>
    <w:rsid w:val="00F465CE"/>
    <w:rsid w:val="00F522CB"/>
    <w:rsid w:val="00F5759A"/>
    <w:rsid w:val="00F67EBA"/>
    <w:rsid w:val="00F962D9"/>
    <w:rsid w:val="00FC1FDC"/>
    <w:rsid w:val="00FC4613"/>
    <w:rsid w:val="00FD3AD5"/>
    <w:rsid w:val="75A4D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86"/>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TableParagraph">
    <w:name w:val="Table Paragraph"/>
    <w:basedOn w:val="Normal"/>
    <w:uiPriority w:val="1"/>
    <w:qFormat/>
    <w:rsid w:val="001A6F7C"/>
    <w:pPr>
      <w:widowControl w:val="0"/>
      <w:suppressAutoHyphens w:val="0"/>
      <w:autoSpaceDE w:val="0"/>
      <w:spacing w:after="0" w:line="240" w:lineRule="auto"/>
      <w:ind w:left="56"/>
      <w:jc w:val="center"/>
    </w:pPr>
    <w:rPr>
      <w:rFonts w:ascii="Segoe UI" w:eastAsia="Segoe UI" w:hAnsi="Segoe UI" w:cs="Segoe UI"/>
      <w:color w:val="auto"/>
      <w:sz w:val="22"/>
      <w:szCs w:val="22"/>
      <w:lang w:val="en-US" w:eastAsia="en-US"/>
    </w:rPr>
  </w:style>
  <w:style w:type="character" w:styleId="Strong">
    <w:name w:val="Strong"/>
    <w:basedOn w:val="DefaultParagraphFont"/>
    <w:uiPriority w:val="22"/>
    <w:qFormat/>
    <w:rsid w:val="00274865"/>
    <w:rPr>
      <w:b/>
      <w:bCs/>
    </w:rPr>
  </w:style>
  <w:style w:type="paragraph" w:styleId="NormalWeb">
    <w:name w:val="Normal (Web)"/>
    <w:basedOn w:val="Normal"/>
    <w:uiPriority w:val="99"/>
    <w:semiHidden/>
    <w:unhideWhenUsed/>
    <w:rsid w:val="00274865"/>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84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7330">
      <w:bodyDiv w:val="1"/>
      <w:marLeft w:val="0"/>
      <w:marRight w:val="0"/>
      <w:marTop w:val="0"/>
      <w:marBottom w:val="0"/>
      <w:divBdr>
        <w:top w:val="none" w:sz="0" w:space="0" w:color="auto"/>
        <w:left w:val="none" w:sz="0" w:space="0" w:color="auto"/>
        <w:bottom w:val="none" w:sz="0" w:space="0" w:color="auto"/>
        <w:right w:val="none" w:sz="0" w:space="0" w:color="auto"/>
      </w:divBdr>
    </w:div>
    <w:div w:id="221912283">
      <w:bodyDiv w:val="1"/>
      <w:marLeft w:val="0"/>
      <w:marRight w:val="0"/>
      <w:marTop w:val="0"/>
      <w:marBottom w:val="0"/>
      <w:divBdr>
        <w:top w:val="none" w:sz="0" w:space="0" w:color="auto"/>
        <w:left w:val="none" w:sz="0" w:space="0" w:color="auto"/>
        <w:bottom w:val="none" w:sz="0" w:space="0" w:color="auto"/>
        <w:right w:val="none" w:sz="0" w:space="0" w:color="auto"/>
      </w:divBdr>
    </w:div>
    <w:div w:id="228344699">
      <w:bodyDiv w:val="1"/>
      <w:marLeft w:val="0"/>
      <w:marRight w:val="0"/>
      <w:marTop w:val="0"/>
      <w:marBottom w:val="0"/>
      <w:divBdr>
        <w:top w:val="none" w:sz="0" w:space="0" w:color="auto"/>
        <w:left w:val="none" w:sz="0" w:space="0" w:color="auto"/>
        <w:bottom w:val="none" w:sz="0" w:space="0" w:color="auto"/>
        <w:right w:val="none" w:sz="0" w:space="0" w:color="auto"/>
      </w:divBdr>
    </w:div>
    <w:div w:id="505360572">
      <w:bodyDiv w:val="1"/>
      <w:marLeft w:val="0"/>
      <w:marRight w:val="0"/>
      <w:marTop w:val="0"/>
      <w:marBottom w:val="0"/>
      <w:divBdr>
        <w:top w:val="none" w:sz="0" w:space="0" w:color="auto"/>
        <w:left w:val="none" w:sz="0" w:space="0" w:color="auto"/>
        <w:bottom w:val="none" w:sz="0" w:space="0" w:color="auto"/>
        <w:right w:val="none" w:sz="0" w:space="0" w:color="auto"/>
      </w:divBdr>
    </w:div>
    <w:div w:id="553086613">
      <w:bodyDiv w:val="1"/>
      <w:marLeft w:val="0"/>
      <w:marRight w:val="0"/>
      <w:marTop w:val="0"/>
      <w:marBottom w:val="0"/>
      <w:divBdr>
        <w:top w:val="none" w:sz="0" w:space="0" w:color="auto"/>
        <w:left w:val="none" w:sz="0" w:space="0" w:color="auto"/>
        <w:bottom w:val="none" w:sz="0" w:space="0" w:color="auto"/>
        <w:right w:val="none" w:sz="0" w:space="0" w:color="auto"/>
      </w:divBdr>
    </w:div>
    <w:div w:id="634220258">
      <w:bodyDiv w:val="1"/>
      <w:marLeft w:val="0"/>
      <w:marRight w:val="0"/>
      <w:marTop w:val="0"/>
      <w:marBottom w:val="0"/>
      <w:divBdr>
        <w:top w:val="none" w:sz="0" w:space="0" w:color="auto"/>
        <w:left w:val="none" w:sz="0" w:space="0" w:color="auto"/>
        <w:bottom w:val="none" w:sz="0" w:space="0" w:color="auto"/>
        <w:right w:val="none" w:sz="0" w:space="0" w:color="auto"/>
      </w:divBdr>
    </w:div>
    <w:div w:id="897013834">
      <w:bodyDiv w:val="1"/>
      <w:marLeft w:val="0"/>
      <w:marRight w:val="0"/>
      <w:marTop w:val="0"/>
      <w:marBottom w:val="0"/>
      <w:divBdr>
        <w:top w:val="none" w:sz="0" w:space="0" w:color="auto"/>
        <w:left w:val="none" w:sz="0" w:space="0" w:color="auto"/>
        <w:bottom w:val="none" w:sz="0" w:space="0" w:color="auto"/>
        <w:right w:val="none" w:sz="0" w:space="0" w:color="auto"/>
      </w:divBdr>
    </w:div>
    <w:div w:id="1074469763">
      <w:bodyDiv w:val="1"/>
      <w:marLeft w:val="0"/>
      <w:marRight w:val="0"/>
      <w:marTop w:val="0"/>
      <w:marBottom w:val="0"/>
      <w:divBdr>
        <w:top w:val="none" w:sz="0" w:space="0" w:color="auto"/>
        <w:left w:val="none" w:sz="0" w:space="0" w:color="auto"/>
        <w:bottom w:val="none" w:sz="0" w:space="0" w:color="auto"/>
        <w:right w:val="none" w:sz="0" w:space="0" w:color="auto"/>
      </w:divBdr>
    </w:div>
    <w:div w:id="1227296888">
      <w:bodyDiv w:val="1"/>
      <w:marLeft w:val="0"/>
      <w:marRight w:val="0"/>
      <w:marTop w:val="0"/>
      <w:marBottom w:val="0"/>
      <w:divBdr>
        <w:top w:val="none" w:sz="0" w:space="0" w:color="auto"/>
        <w:left w:val="none" w:sz="0" w:space="0" w:color="auto"/>
        <w:bottom w:val="none" w:sz="0" w:space="0" w:color="auto"/>
        <w:right w:val="none" w:sz="0" w:space="0" w:color="auto"/>
      </w:divBdr>
    </w:div>
    <w:div w:id="1670715767">
      <w:bodyDiv w:val="1"/>
      <w:marLeft w:val="0"/>
      <w:marRight w:val="0"/>
      <w:marTop w:val="0"/>
      <w:marBottom w:val="0"/>
      <w:divBdr>
        <w:top w:val="none" w:sz="0" w:space="0" w:color="auto"/>
        <w:left w:val="none" w:sz="0" w:space="0" w:color="auto"/>
        <w:bottom w:val="none" w:sz="0" w:space="0" w:color="auto"/>
        <w:right w:val="none" w:sz="0" w:space="0" w:color="auto"/>
      </w:divBdr>
    </w:div>
    <w:div w:id="197231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ducation-evidence/teaching-learning-toolkit/social-and-emotional-learn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www.gov.uk/government/publications/subject-report-series-english/telling-the-story-the-english-education-subject-report"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ral-language-interventions" TargetMode="External"/><Relationship Id="rId20" Type="http://schemas.openxmlformats.org/officeDocument/2006/relationships/hyperlink" Target="https://educationendowmentfoundation.org.uk/education-evidence/teaching-learning-toolkit/behaviour-interven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vidence-summaries/teaching-learning-toolkit/oral-language-interventions/"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educationendowmentfoundation.org.uk/public/files/Publications/SEL/EEF_Social_and_Emotional_Learning.pdf"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educationendowmentfoundation.org.uk/tools/assessing-and-monitoring-pupil-progress/testing/standardised-tests/" TargetMode="External"/><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ublic/files/Publications/Maths/KS2_KS3_Maths_Guidance_2017.pdf" TargetMode="External"/><Relationship Id="rId22" Type="http://schemas.openxmlformats.org/officeDocument/2006/relationships/image" Target="media/image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f03a21-b676-4bd4-9e14-12c0cb774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83516FD63C648B164991C48BCD70E" ma:contentTypeVersion="18" ma:contentTypeDescription="Create a new document." ma:contentTypeScope="" ma:versionID="141e2ebf58f75aa8af3aed0379744641">
  <xsd:schema xmlns:xsd="http://www.w3.org/2001/XMLSchema" xmlns:xs="http://www.w3.org/2001/XMLSchema" xmlns:p="http://schemas.microsoft.com/office/2006/metadata/properties" xmlns:ns3="b11b676c-4f64-4c8b-b19c-7856c3fa2bba" xmlns:ns4="6df03a21-b676-4bd4-9e14-12c0cb77446a" targetNamespace="http://schemas.microsoft.com/office/2006/metadata/properties" ma:root="true" ma:fieldsID="f2a66f69028bf147d8e6c86cf56971c5" ns3:_="" ns4:_="">
    <xsd:import namespace="b11b676c-4f64-4c8b-b19c-7856c3fa2bba"/>
    <xsd:import namespace="6df03a21-b676-4bd4-9e14-12c0cb7744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b676c-4f64-4c8b-b19c-7856c3fa2b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3a21-b676-4bd4-9e14-12c0cb7744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58A57-0DE1-4566-AFF7-CAD3472E6F86}">
  <ds:schemaRefs>
    <ds:schemaRef ds:uri="http://schemas.microsoft.com/office/2006/metadata/properties"/>
    <ds:schemaRef ds:uri="http://schemas.microsoft.com/office/infopath/2007/PartnerControls"/>
    <ds:schemaRef ds:uri="6df03a21-b676-4bd4-9e14-12c0cb77446a"/>
  </ds:schemaRefs>
</ds:datastoreItem>
</file>

<file path=customXml/itemProps2.xml><?xml version="1.0" encoding="utf-8"?>
<ds:datastoreItem xmlns:ds="http://schemas.openxmlformats.org/officeDocument/2006/customXml" ds:itemID="{2914B1C2-4188-4EBC-AF0E-2A7D7E522272}">
  <ds:schemaRefs>
    <ds:schemaRef ds:uri="http://schemas.microsoft.com/sharepoint/v3/contenttype/forms"/>
  </ds:schemaRefs>
</ds:datastoreItem>
</file>

<file path=customXml/itemProps3.xml><?xml version="1.0" encoding="utf-8"?>
<ds:datastoreItem xmlns:ds="http://schemas.openxmlformats.org/officeDocument/2006/customXml" ds:itemID="{2FBA8B63-AA45-429E-B885-C6D111B4D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b676c-4f64-4c8b-b19c-7856c3fa2bba"/>
    <ds:schemaRef ds:uri="6df03a21-b676-4bd4-9e14-12c0cb774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 Sutherland ASW</cp:lastModifiedBy>
  <cp:revision>2</cp:revision>
  <cp:lastPrinted>2014-09-17T13:26:00Z</cp:lastPrinted>
  <dcterms:created xsi:type="dcterms:W3CDTF">2025-12-17T14:15:00Z</dcterms:created>
  <dcterms:modified xsi:type="dcterms:W3CDTF">2025-12-17T14:15:00Z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0x0101007BD83516FD63C648B164991C48BCD70E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